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D9B44" w14:textId="4355A80F" w:rsidR="00E17FC1" w:rsidRDefault="00774707">
      <w:pPr>
        <w:spacing w:line="360" w:lineRule="auto"/>
        <w:jc w:val="center"/>
        <w:rPr>
          <w:rFonts w:eastAsia="Times New Roman"/>
          <w:b/>
          <w:lang w:eastAsia="en-US"/>
        </w:rPr>
      </w:pPr>
      <w:r w:rsidRPr="00CE661A">
        <w:rPr>
          <w:rFonts w:eastAsia="Times New Roman"/>
          <w:b/>
          <w:lang w:eastAsia="en-US"/>
        </w:rPr>
        <w:t>STATE OF GEORGIA</w:t>
      </w:r>
    </w:p>
    <w:p w14:paraId="2ACA68AE" w14:textId="77777777" w:rsidR="00E17FC1" w:rsidRDefault="00E17FC1">
      <w:pPr>
        <w:spacing w:line="360" w:lineRule="auto"/>
        <w:jc w:val="center"/>
        <w:rPr>
          <w:rFonts w:eastAsia="MS Mincho"/>
          <w:b/>
          <w:lang w:eastAsia="en-US"/>
        </w:rPr>
      </w:pPr>
    </w:p>
    <w:p w14:paraId="321EA10C" w14:textId="77777777" w:rsidR="00E17FC1" w:rsidRDefault="00774707">
      <w:pPr>
        <w:spacing w:line="360" w:lineRule="auto"/>
        <w:jc w:val="center"/>
        <w:rPr>
          <w:rFonts w:eastAsia="MS Mincho"/>
          <w:b/>
          <w:lang w:eastAsia="en-US"/>
        </w:rPr>
      </w:pPr>
      <w:r w:rsidRPr="00CE661A">
        <w:rPr>
          <w:rFonts w:eastAsia="MS Mincho"/>
          <w:b/>
          <w:lang w:eastAsia="en-US"/>
        </w:rPr>
        <w:t xml:space="preserve">BEFORE THE </w:t>
      </w:r>
    </w:p>
    <w:p w14:paraId="5C1507EC" w14:textId="77777777" w:rsidR="00E17FC1" w:rsidRPr="00CE661A" w:rsidRDefault="00774707">
      <w:pPr>
        <w:spacing w:line="360" w:lineRule="auto"/>
        <w:jc w:val="center"/>
        <w:rPr>
          <w:rFonts w:eastAsia="MS Mincho"/>
          <w:b/>
          <w:lang w:eastAsia="en-US"/>
        </w:rPr>
      </w:pPr>
      <w:r w:rsidRPr="00CE661A">
        <w:rPr>
          <w:rFonts w:eastAsia="MS Mincho"/>
          <w:b/>
          <w:lang w:eastAsia="en-US"/>
        </w:rPr>
        <w:t>GEORGIA PUBLIC SERVICE COMMISSION</w:t>
      </w:r>
    </w:p>
    <w:p w14:paraId="5C9DB9CA" w14:textId="77777777" w:rsidR="00E17FC1" w:rsidRDefault="00E17FC1">
      <w:pPr>
        <w:rPr>
          <w:rFonts w:eastAsia="Times New Roman"/>
          <w:b/>
          <w:lang w:eastAsia="en-US"/>
        </w:rPr>
      </w:pPr>
    </w:p>
    <w:p w14:paraId="29ED5606" w14:textId="77777777" w:rsidR="00E17FC1" w:rsidRPr="00A71693" w:rsidRDefault="00774707">
      <w:pPr>
        <w:spacing w:line="360" w:lineRule="auto"/>
        <w:rPr>
          <w:rFonts w:eastAsia="Times New Roman"/>
          <w:bCs/>
          <w:lang w:eastAsia="en-US"/>
        </w:rPr>
      </w:pPr>
      <w:r w:rsidRPr="00A71693">
        <w:rPr>
          <w:rFonts w:eastAsia="Times New Roman"/>
          <w:bCs/>
          <w:lang w:eastAsia="en-US"/>
        </w:rPr>
        <w:t>Re:</w:t>
      </w:r>
    </w:p>
    <w:p w14:paraId="1109DD47" w14:textId="77777777" w:rsidR="00E17FC1" w:rsidRPr="00A71693" w:rsidRDefault="00774707">
      <w:pPr>
        <w:rPr>
          <w:rFonts w:eastAsia="Times New Roman"/>
          <w:bCs/>
          <w:lang w:eastAsia="en-US"/>
        </w:rPr>
      </w:pPr>
      <w:r w:rsidRPr="00A71693">
        <w:rPr>
          <w:rFonts w:eastAsia="Times New Roman"/>
          <w:bCs/>
          <w:lang w:eastAsia="en-US"/>
        </w:rPr>
        <w:t>Georgia Power Company’s</w:t>
      </w:r>
      <w:r w:rsidRPr="00A71693">
        <w:rPr>
          <w:rFonts w:eastAsia="Times New Roman"/>
          <w:bCs/>
          <w:lang w:eastAsia="en-US"/>
        </w:rPr>
        <w:tab/>
      </w:r>
      <w:r w:rsidRPr="00A71693">
        <w:rPr>
          <w:rFonts w:eastAsia="Times New Roman"/>
          <w:bCs/>
          <w:lang w:eastAsia="en-US"/>
        </w:rPr>
        <w:tab/>
      </w:r>
      <w:r w:rsidRPr="00A71693">
        <w:rPr>
          <w:rFonts w:eastAsia="Times New Roman"/>
          <w:bCs/>
          <w:lang w:eastAsia="en-US"/>
        </w:rPr>
        <w:tab/>
        <w:t>)</w:t>
      </w:r>
    </w:p>
    <w:p w14:paraId="427AB001" w14:textId="254536FC" w:rsidR="00E17FC1" w:rsidRPr="00A71693" w:rsidRDefault="00774707">
      <w:pPr>
        <w:rPr>
          <w:rFonts w:eastAsia="Times New Roman"/>
          <w:bCs/>
          <w:lang w:eastAsia="en-US"/>
        </w:rPr>
      </w:pPr>
      <w:r w:rsidRPr="00A71693">
        <w:rPr>
          <w:rFonts w:eastAsia="Times New Roman"/>
          <w:bCs/>
          <w:lang w:eastAsia="en-US"/>
        </w:rPr>
        <w:t>202</w:t>
      </w:r>
      <w:r w:rsidR="001946DB" w:rsidRPr="00A71693">
        <w:rPr>
          <w:rFonts w:eastAsia="Times New Roman"/>
          <w:bCs/>
          <w:lang w:eastAsia="en-US"/>
        </w:rPr>
        <w:t>5</w:t>
      </w:r>
      <w:r w:rsidRPr="00A71693">
        <w:rPr>
          <w:rFonts w:eastAsia="Times New Roman"/>
          <w:bCs/>
          <w:lang w:eastAsia="en-US"/>
        </w:rPr>
        <w:t xml:space="preserve"> Integrated Resource Plan and</w:t>
      </w:r>
      <w:r w:rsidRPr="00A71693">
        <w:rPr>
          <w:rFonts w:eastAsia="Times New Roman"/>
          <w:bCs/>
          <w:lang w:eastAsia="en-US"/>
        </w:rPr>
        <w:tab/>
      </w:r>
      <w:r w:rsidRPr="00A71693">
        <w:rPr>
          <w:rFonts w:eastAsia="Times New Roman"/>
          <w:bCs/>
          <w:lang w:eastAsia="en-US"/>
        </w:rPr>
        <w:tab/>
        <w:t>)</w:t>
      </w:r>
      <w:r w:rsidRPr="00A71693">
        <w:rPr>
          <w:rFonts w:eastAsia="Times New Roman"/>
          <w:bCs/>
          <w:lang w:eastAsia="en-US"/>
        </w:rPr>
        <w:tab/>
      </w:r>
      <w:r w:rsidRPr="00A71693">
        <w:rPr>
          <w:rFonts w:eastAsia="Times New Roman"/>
          <w:bCs/>
          <w:lang w:eastAsia="en-US"/>
        </w:rPr>
        <w:tab/>
        <w:t xml:space="preserve">Docket No. </w:t>
      </w:r>
      <w:r w:rsidR="001946DB" w:rsidRPr="00A71693">
        <w:rPr>
          <w:rFonts w:eastAsia="Times New Roman"/>
          <w:bCs/>
          <w:lang w:eastAsia="en-US"/>
        </w:rPr>
        <w:t>56002</w:t>
      </w:r>
    </w:p>
    <w:p w14:paraId="77BEED94" w14:textId="77777777" w:rsidR="00E17FC1" w:rsidRPr="00A71693" w:rsidRDefault="00E17FC1">
      <w:pPr>
        <w:rPr>
          <w:rFonts w:eastAsia="Times New Roman"/>
          <w:bCs/>
          <w:lang w:eastAsia="en-US"/>
        </w:rPr>
      </w:pPr>
    </w:p>
    <w:p w14:paraId="72AD3116" w14:textId="77777777" w:rsidR="00E17FC1" w:rsidRPr="00A71693" w:rsidRDefault="00774707">
      <w:pPr>
        <w:rPr>
          <w:rFonts w:eastAsia="Times New Roman"/>
          <w:bCs/>
          <w:lang w:eastAsia="en-US"/>
        </w:rPr>
      </w:pPr>
      <w:r w:rsidRPr="00A71693">
        <w:rPr>
          <w:rFonts w:eastAsia="Times New Roman"/>
          <w:bCs/>
          <w:lang w:eastAsia="en-US"/>
        </w:rPr>
        <w:t>Georgia Power Company’s</w:t>
      </w:r>
      <w:r w:rsidRPr="00A71693">
        <w:rPr>
          <w:rFonts w:eastAsia="Times New Roman"/>
          <w:bCs/>
          <w:lang w:eastAsia="en-US"/>
        </w:rPr>
        <w:tab/>
      </w:r>
      <w:r w:rsidRPr="00A71693">
        <w:rPr>
          <w:rFonts w:eastAsia="Times New Roman"/>
          <w:bCs/>
          <w:lang w:eastAsia="en-US"/>
        </w:rPr>
        <w:tab/>
      </w:r>
      <w:r w:rsidRPr="00A71693">
        <w:rPr>
          <w:rFonts w:eastAsia="Times New Roman"/>
          <w:bCs/>
          <w:lang w:eastAsia="en-US"/>
        </w:rPr>
        <w:tab/>
        <w:t>)</w:t>
      </w:r>
    </w:p>
    <w:p w14:paraId="79410F9A" w14:textId="74421827" w:rsidR="00E17FC1" w:rsidRPr="00A71693" w:rsidRDefault="00774707">
      <w:pPr>
        <w:rPr>
          <w:rFonts w:eastAsia="Times New Roman"/>
          <w:bCs/>
          <w:lang w:eastAsia="en-US"/>
        </w:rPr>
      </w:pPr>
      <w:r w:rsidRPr="00A71693">
        <w:rPr>
          <w:rFonts w:eastAsia="Times New Roman"/>
          <w:bCs/>
          <w:lang w:eastAsia="en-US"/>
        </w:rPr>
        <w:t>202</w:t>
      </w:r>
      <w:r w:rsidR="001946DB" w:rsidRPr="00A71693">
        <w:rPr>
          <w:rFonts w:eastAsia="Times New Roman"/>
          <w:bCs/>
          <w:lang w:eastAsia="en-US"/>
        </w:rPr>
        <w:t>5</w:t>
      </w:r>
      <w:r w:rsidRPr="00A71693">
        <w:rPr>
          <w:rFonts w:eastAsia="Times New Roman"/>
          <w:bCs/>
          <w:lang w:eastAsia="en-US"/>
        </w:rPr>
        <w:t xml:space="preserve"> Application for the Certification,</w:t>
      </w:r>
      <w:r w:rsidRPr="00A71693">
        <w:rPr>
          <w:rFonts w:eastAsia="Times New Roman"/>
          <w:bCs/>
          <w:lang w:eastAsia="en-US"/>
        </w:rPr>
        <w:tab/>
        <w:t>)</w:t>
      </w:r>
      <w:r w:rsidRPr="00A71693">
        <w:rPr>
          <w:rFonts w:eastAsia="Times New Roman"/>
          <w:bCs/>
          <w:lang w:eastAsia="en-US"/>
        </w:rPr>
        <w:tab/>
      </w:r>
      <w:r w:rsidRPr="00A71693">
        <w:rPr>
          <w:rFonts w:eastAsia="Times New Roman"/>
          <w:bCs/>
          <w:lang w:eastAsia="en-US"/>
        </w:rPr>
        <w:tab/>
        <w:t xml:space="preserve">Docket No. </w:t>
      </w:r>
      <w:r w:rsidR="001946DB" w:rsidRPr="00A71693">
        <w:rPr>
          <w:rFonts w:eastAsia="Times New Roman"/>
          <w:bCs/>
          <w:lang w:eastAsia="en-US"/>
        </w:rPr>
        <w:t>56003</w:t>
      </w:r>
    </w:p>
    <w:p w14:paraId="50007577" w14:textId="3761E641" w:rsidR="00E17FC1" w:rsidRPr="00A71693" w:rsidRDefault="00774707">
      <w:pPr>
        <w:rPr>
          <w:rFonts w:eastAsia="Times New Roman"/>
          <w:bCs/>
          <w:lang w:eastAsia="en-US"/>
        </w:rPr>
      </w:pPr>
      <w:r w:rsidRPr="00A71693">
        <w:rPr>
          <w:rFonts w:eastAsia="Times New Roman"/>
          <w:bCs/>
          <w:lang w:eastAsia="en-US"/>
        </w:rPr>
        <w:t>Decertification and Amended</w:t>
      </w:r>
      <w:r w:rsidRPr="00A71693">
        <w:rPr>
          <w:rFonts w:eastAsia="Times New Roman"/>
          <w:bCs/>
          <w:lang w:eastAsia="en-US"/>
        </w:rPr>
        <w:tab/>
      </w:r>
      <w:r w:rsidRPr="00A71693">
        <w:rPr>
          <w:rFonts w:eastAsia="Times New Roman"/>
          <w:bCs/>
          <w:lang w:eastAsia="en-US"/>
        </w:rPr>
        <w:tab/>
      </w:r>
      <w:r w:rsidR="00A71693">
        <w:rPr>
          <w:rFonts w:eastAsia="Times New Roman"/>
          <w:bCs/>
          <w:lang w:eastAsia="en-US"/>
        </w:rPr>
        <w:tab/>
      </w:r>
      <w:r w:rsidRPr="00A71693">
        <w:rPr>
          <w:rFonts w:eastAsia="Times New Roman"/>
          <w:bCs/>
          <w:lang w:eastAsia="en-US"/>
        </w:rPr>
        <w:t>)</w:t>
      </w:r>
    </w:p>
    <w:p w14:paraId="3CA72D13" w14:textId="77777777" w:rsidR="00E17FC1" w:rsidRPr="00A71693" w:rsidRDefault="00774707">
      <w:pPr>
        <w:rPr>
          <w:rFonts w:eastAsia="Times New Roman"/>
          <w:bCs/>
          <w:lang w:eastAsia="en-US"/>
        </w:rPr>
      </w:pPr>
      <w:r w:rsidRPr="00A71693">
        <w:rPr>
          <w:rFonts w:eastAsia="Times New Roman"/>
          <w:bCs/>
          <w:lang w:eastAsia="en-US"/>
        </w:rPr>
        <w:t>Demand Side Management Plan</w:t>
      </w:r>
      <w:r w:rsidRPr="00A71693">
        <w:rPr>
          <w:rFonts w:eastAsia="Times New Roman"/>
          <w:bCs/>
          <w:lang w:eastAsia="en-US"/>
        </w:rPr>
        <w:tab/>
      </w:r>
      <w:r w:rsidRPr="00A71693">
        <w:rPr>
          <w:rFonts w:eastAsia="Times New Roman"/>
          <w:bCs/>
          <w:lang w:eastAsia="en-US"/>
        </w:rPr>
        <w:tab/>
        <w:t>)</w:t>
      </w:r>
    </w:p>
    <w:p w14:paraId="7478F962" w14:textId="77777777" w:rsidR="00E17FC1" w:rsidRPr="00CE661A" w:rsidRDefault="00E17FC1">
      <w:pPr>
        <w:rPr>
          <w:rFonts w:eastAsia="Times New Roman"/>
          <w:lang w:eastAsia="en-US"/>
        </w:rPr>
      </w:pPr>
    </w:p>
    <w:p w14:paraId="60040961" w14:textId="77777777" w:rsidR="00E17FC1" w:rsidRDefault="00E17FC1">
      <w:pPr>
        <w:jc w:val="center"/>
        <w:rPr>
          <w:b/>
          <w:u w:val="single"/>
        </w:rPr>
      </w:pPr>
    </w:p>
    <w:p w14:paraId="15E8B3EB" w14:textId="77777777" w:rsidR="00E17FC1" w:rsidRDefault="00E17FC1">
      <w:pPr>
        <w:jc w:val="center"/>
        <w:rPr>
          <w:b/>
          <w:u w:val="single"/>
        </w:rPr>
      </w:pPr>
    </w:p>
    <w:p w14:paraId="237DE31E" w14:textId="1ADACAF0" w:rsidR="006B0957" w:rsidRDefault="006B0957" w:rsidP="006B0957">
      <w:pPr>
        <w:jc w:val="center"/>
        <w:rPr>
          <w:b/>
          <w:u w:val="single"/>
        </w:rPr>
      </w:pPr>
      <w:r>
        <w:rPr>
          <w:b/>
          <w:u w:val="single"/>
        </w:rPr>
        <w:t xml:space="preserve">RESPONSE TO </w:t>
      </w:r>
      <w:r w:rsidR="00896534">
        <w:rPr>
          <w:b/>
          <w:u w:val="single"/>
        </w:rPr>
        <w:t>GIPL AND SOUTHFACE</w:t>
      </w:r>
      <w:r>
        <w:rPr>
          <w:b/>
          <w:u w:val="single"/>
        </w:rPr>
        <w:t xml:space="preserve">’S </w:t>
      </w:r>
    </w:p>
    <w:p w14:paraId="14FA3698" w14:textId="77777777" w:rsidR="006B0957" w:rsidRDefault="006B0957" w:rsidP="006B0957">
      <w:pPr>
        <w:jc w:val="center"/>
        <w:rPr>
          <w:b/>
          <w:u w:val="single"/>
        </w:rPr>
      </w:pPr>
      <w:r>
        <w:rPr>
          <w:b/>
          <w:u w:val="single"/>
        </w:rPr>
        <w:t xml:space="preserve">MOTION CHALLENGING GEORGIA POWER COMPANY’S </w:t>
      </w:r>
    </w:p>
    <w:p w14:paraId="27F8A34E" w14:textId="785FF9AC" w:rsidR="00E17FC1" w:rsidRDefault="006B0957" w:rsidP="006B0957">
      <w:pPr>
        <w:jc w:val="center"/>
        <w:rPr>
          <w:b/>
          <w:u w:val="single"/>
        </w:rPr>
      </w:pPr>
      <w:r>
        <w:rPr>
          <w:b/>
          <w:u w:val="single"/>
        </w:rPr>
        <w:t xml:space="preserve">TRADE SECRET ASSERTIONS </w:t>
      </w:r>
    </w:p>
    <w:p w14:paraId="089DA408" w14:textId="77777777" w:rsidR="00E17FC1" w:rsidRDefault="00E17FC1">
      <w:pPr>
        <w:jc w:val="center"/>
        <w:rPr>
          <w:b/>
          <w:u w:val="single"/>
        </w:rPr>
      </w:pPr>
    </w:p>
    <w:p w14:paraId="60AE9271" w14:textId="77777777" w:rsidR="00A13A0F" w:rsidRPr="00813F3F" w:rsidRDefault="00A13A0F">
      <w:pPr>
        <w:jc w:val="center"/>
        <w:rPr>
          <w:b/>
          <w:u w:val="single"/>
        </w:rPr>
      </w:pPr>
    </w:p>
    <w:p w14:paraId="01CADB5B" w14:textId="30913259" w:rsidR="006B0957" w:rsidRDefault="006B0957" w:rsidP="001E0C5D">
      <w:pPr>
        <w:pStyle w:val="Heading"/>
      </w:pPr>
      <w:r w:rsidRPr="001E0C5D">
        <w:t>INTRODUCTION</w:t>
      </w:r>
    </w:p>
    <w:p w14:paraId="02716165" w14:textId="77777777" w:rsidR="00D97816" w:rsidRDefault="001E0C5D" w:rsidP="00D97816">
      <w:pPr>
        <w:pStyle w:val="BodyText"/>
        <w:spacing w:after="0" w:line="480" w:lineRule="auto"/>
        <w:jc w:val="both"/>
        <w:rPr>
          <w:lang w:eastAsia="en-US"/>
        </w:rPr>
      </w:pPr>
      <w:r>
        <w:rPr>
          <w:lang w:eastAsia="en-US"/>
        </w:rPr>
        <w:t xml:space="preserve">On January 31, 2025, </w:t>
      </w:r>
      <w:r w:rsidR="003A2932">
        <w:rPr>
          <w:lang w:eastAsia="en-US"/>
        </w:rPr>
        <w:t>Georgia Power Company</w:t>
      </w:r>
      <w:r>
        <w:rPr>
          <w:lang w:eastAsia="en-US"/>
        </w:rPr>
        <w:t xml:space="preserve"> (“Georgia Power” or the “Company”)</w:t>
      </w:r>
      <w:r w:rsidR="003A2932">
        <w:rPr>
          <w:lang w:eastAsia="en-US"/>
        </w:rPr>
        <w:t xml:space="preserve"> filed its 2025 Integrated Resource Plan (“IRP”) </w:t>
      </w:r>
      <w:r>
        <w:rPr>
          <w:lang w:eastAsia="en-US"/>
        </w:rPr>
        <w:t xml:space="preserve">and Application for the Certification, Decertification, and </w:t>
      </w:r>
      <w:r w:rsidR="008C3B6E">
        <w:rPr>
          <w:lang w:eastAsia="en-US"/>
        </w:rPr>
        <w:t xml:space="preserve">Amended </w:t>
      </w:r>
      <w:r>
        <w:rPr>
          <w:lang w:eastAsia="en-US"/>
        </w:rPr>
        <w:t>Demand Side Management Plan</w:t>
      </w:r>
      <w:r w:rsidR="00930269">
        <w:rPr>
          <w:lang w:eastAsia="en-US"/>
        </w:rPr>
        <w:t xml:space="preserve"> (“DSM Application”)</w:t>
      </w:r>
      <w:r>
        <w:rPr>
          <w:lang w:eastAsia="en-US"/>
        </w:rPr>
        <w:t xml:space="preserve"> with the Georgia Public Service Commission (the “Commission”) in Docket Nos. 56002 and 56003. </w:t>
      </w:r>
      <w:r w:rsidR="00F54FF3">
        <w:rPr>
          <w:lang w:eastAsia="en-US"/>
        </w:rPr>
        <w:t>Included in the Company’s 2025 IRP filing are Technical Appendices 1 through 3</w:t>
      </w:r>
      <w:r w:rsidR="00930269">
        <w:rPr>
          <w:lang w:eastAsia="en-US"/>
        </w:rPr>
        <w:t xml:space="preserve">, which were filed in both </w:t>
      </w:r>
      <w:r w:rsidR="00CC2B1B">
        <w:rPr>
          <w:lang w:eastAsia="en-US"/>
        </w:rPr>
        <w:t>trade secret and public disclosure v</w:t>
      </w:r>
      <w:r w:rsidR="00930269">
        <w:rPr>
          <w:lang w:eastAsia="en-US"/>
        </w:rPr>
        <w:t>ersion</w:t>
      </w:r>
      <w:r w:rsidR="00896534">
        <w:rPr>
          <w:lang w:eastAsia="en-US"/>
        </w:rPr>
        <w:t>s</w:t>
      </w:r>
      <w:r w:rsidR="00930269" w:rsidRPr="00CC2B1B">
        <w:rPr>
          <w:lang w:eastAsia="en-US"/>
        </w:rPr>
        <w:t>. Accompanying th</w:t>
      </w:r>
      <w:r w:rsidR="007279C9" w:rsidRPr="00CC2B1B">
        <w:rPr>
          <w:lang w:eastAsia="en-US"/>
        </w:rPr>
        <w:t>e IRP</w:t>
      </w:r>
      <w:r w:rsidR="00930269" w:rsidRPr="00CC2B1B">
        <w:rPr>
          <w:lang w:eastAsia="en-US"/>
        </w:rPr>
        <w:t xml:space="preserve"> filing, the Company provided</w:t>
      </w:r>
      <w:r w:rsidR="00CC2B1B" w:rsidRPr="00CC2B1B">
        <w:rPr>
          <w:lang w:eastAsia="en-US"/>
        </w:rPr>
        <w:t xml:space="preserve"> verified</w:t>
      </w:r>
      <w:r w:rsidR="00930269" w:rsidRPr="00CC2B1B">
        <w:rPr>
          <w:lang w:eastAsia="en-US"/>
        </w:rPr>
        <w:t xml:space="preserve"> </w:t>
      </w:r>
      <w:r w:rsidR="00CC2B1B" w:rsidRPr="0008170F">
        <w:rPr>
          <w:lang w:eastAsia="en-US"/>
        </w:rPr>
        <w:t>trade secret assertion</w:t>
      </w:r>
      <w:r w:rsidR="00CC2B1B" w:rsidRPr="00CC2B1B">
        <w:rPr>
          <w:lang w:eastAsia="en-US"/>
        </w:rPr>
        <w:t xml:space="preserve">s identifying the </w:t>
      </w:r>
      <w:r w:rsidR="00566EC1" w:rsidRPr="00CC2B1B">
        <w:rPr>
          <w:lang w:eastAsia="en-US"/>
        </w:rPr>
        <w:t>trade secret</w:t>
      </w:r>
      <w:r w:rsidR="00566EC1">
        <w:rPr>
          <w:lang w:eastAsia="en-US"/>
        </w:rPr>
        <w:t xml:space="preserve"> information</w:t>
      </w:r>
      <w:r w:rsidR="00CC2B1B">
        <w:rPr>
          <w:lang w:eastAsia="en-US"/>
        </w:rPr>
        <w:t>,</w:t>
      </w:r>
      <w:r w:rsidR="00896534">
        <w:rPr>
          <w:lang w:eastAsia="en-US"/>
        </w:rPr>
        <w:t xml:space="preserve"> describing</w:t>
      </w:r>
      <w:r w:rsidR="00566EC1">
        <w:rPr>
          <w:lang w:eastAsia="en-US"/>
        </w:rPr>
        <w:t xml:space="preserve"> the economic harm </w:t>
      </w:r>
      <w:r w:rsidR="002A7597">
        <w:rPr>
          <w:lang w:eastAsia="en-US"/>
        </w:rPr>
        <w:t xml:space="preserve">to customers </w:t>
      </w:r>
      <w:r w:rsidR="0040435F">
        <w:rPr>
          <w:lang w:eastAsia="en-US"/>
        </w:rPr>
        <w:t xml:space="preserve">and the Company </w:t>
      </w:r>
      <w:r w:rsidR="00566EC1">
        <w:rPr>
          <w:lang w:eastAsia="en-US"/>
        </w:rPr>
        <w:t xml:space="preserve">that would </w:t>
      </w:r>
      <w:r w:rsidR="00CC2B1B">
        <w:rPr>
          <w:lang w:eastAsia="en-US"/>
        </w:rPr>
        <w:t xml:space="preserve">potentially </w:t>
      </w:r>
      <w:r w:rsidR="00566EC1">
        <w:rPr>
          <w:lang w:eastAsia="en-US"/>
        </w:rPr>
        <w:t xml:space="preserve">result from </w:t>
      </w:r>
      <w:r w:rsidR="008C3B6E">
        <w:rPr>
          <w:lang w:eastAsia="en-US"/>
        </w:rPr>
        <w:t xml:space="preserve">the </w:t>
      </w:r>
      <w:r w:rsidR="00566EC1">
        <w:rPr>
          <w:lang w:eastAsia="en-US"/>
        </w:rPr>
        <w:t>disclosure</w:t>
      </w:r>
      <w:r w:rsidR="008C3B6E">
        <w:rPr>
          <w:lang w:eastAsia="en-US"/>
        </w:rPr>
        <w:t xml:space="preserve"> of such information</w:t>
      </w:r>
      <w:r w:rsidR="00CC2B1B">
        <w:rPr>
          <w:lang w:eastAsia="en-US"/>
        </w:rPr>
        <w:t>,</w:t>
      </w:r>
      <w:r w:rsidR="00566EC1">
        <w:rPr>
          <w:lang w:eastAsia="en-US"/>
        </w:rPr>
        <w:t xml:space="preserve"> and the Company’s processes </w:t>
      </w:r>
      <w:r w:rsidR="00896534">
        <w:rPr>
          <w:lang w:eastAsia="en-US"/>
        </w:rPr>
        <w:t xml:space="preserve">for </w:t>
      </w:r>
      <w:r w:rsidR="00566EC1">
        <w:rPr>
          <w:lang w:eastAsia="en-US"/>
        </w:rPr>
        <w:t>limiting access to such information.</w:t>
      </w:r>
      <w:r w:rsidR="00021F43">
        <w:rPr>
          <w:lang w:eastAsia="en-US"/>
        </w:rPr>
        <w:t xml:space="preserve"> </w:t>
      </w:r>
    </w:p>
    <w:p w14:paraId="32BA3AB8" w14:textId="3BD8ACFE" w:rsidR="003A2932" w:rsidRDefault="007279C9" w:rsidP="00D97816">
      <w:pPr>
        <w:pStyle w:val="BodyText"/>
        <w:spacing w:after="0" w:line="480" w:lineRule="auto"/>
        <w:jc w:val="both"/>
        <w:rPr>
          <w:lang w:eastAsia="en-US"/>
        </w:rPr>
      </w:pPr>
      <w:r>
        <w:rPr>
          <w:lang w:eastAsia="en-US"/>
        </w:rPr>
        <w:t>Over three months later, o</w:t>
      </w:r>
      <w:r w:rsidR="00021F43">
        <w:rPr>
          <w:lang w:eastAsia="en-US"/>
        </w:rPr>
        <w:t>n May</w:t>
      </w:r>
      <w:r w:rsidR="00CC2B1B">
        <w:rPr>
          <w:lang w:eastAsia="en-US"/>
        </w:rPr>
        <w:t> </w:t>
      </w:r>
      <w:r w:rsidR="00021F43">
        <w:rPr>
          <w:lang w:eastAsia="en-US"/>
        </w:rPr>
        <w:t>21,</w:t>
      </w:r>
      <w:r w:rsidR="00CC2B1B">
        <w:rPr>
          <w:lang w:eastAsia="en-US"/>
        </w:rPr>
        <w:t> </w:t>
      </w:r>
      <w:r w:rsidR="00021F43">
        <w:rPr>
          <w:lang w:eastAsia="en-US"/>
        </w:rPr>
        <w:t>2025, Georgia Interfaith Power and Light and Southface Energy Institute (“GIPL &amp; Southface”)</w:t>
      </w:r>
      <w:r w:rsidR="00253C9B">
        <w:rPr>
          <w:lang w:eastAsia="en-US"/>
        </w:rPr>
        <w:t xml:space="preserve">, </w:t>
      </w:r>
      <w:r w:rsidR="008C3B6E">
        <w:rPr>
          <w:lang w:eastAsia="en-US"/>
        </w:rPr>
        <w:t xml:space="preserve">joint </w:t>
      </w:r>
      <w:r w:rsidR="00253C9B">
        <w:rPr>
          <w:lang w:eastAsia="en-US"/>
        </w:rPr>
        <w:t xml:space="preserve">intervenors in </w:t>
      </w:r>
      <w:r w:rsidR="008C3B6E">
        <w:rPr>
          <w:lang w:eastAsia="en-US"/>
        </w:rPr>
        <w:t xml:space="preserve">Docket Nos. 56002 and </w:t>
      </w:r>
      <w:r w:rsidR="008C3B6E">
        <w:rPr>
          <w:lang w:eastAsia="en-US"/>
        </w:rPr>
        <w:lastRenderedPageBreak/>
        <w:t>56003</w:t>
      </w:r>
      <w:r w:rsidR="00253C9B">
        <w:rPr>
          <w:lang w:eastAsia="en-US"/>
        </w:rPr>
        <w:t xml:space="preserve">, </w:t>
      </w:r>
      <w:r w:rsidR="005D378D">
        <w:rPr>
          <w:lang w:eastAsia="en-US"/>
        </w:rPr>
        <w:t xml:space="preserve">filed a Motion </w:t>
      </w:r>
      <w:r w:rsidR="003409C8">
        <w:rPr>
          <w:lang w:eastAsia="en-US"/>
        </w:rPr>
        <w:t>C</w:t>
      </w:r>
      <w:r w:rsidR="005D378D">
        <w:rPr>
          <w:lang w:eastAsia="en-US"/>
        </w:rPr>
        <w:t>hallenging Georgia Power’s Company’s Trade Secret Assertions</w:t>
      </w:r>
      <w:r w:rsidR="003409C8">
        <w:rPr>
          <w:lang w:eastAsia="en-US"/>
        </w:rPr>
        <w:t xml:space="preserve"> (the “Motion”). GIPL &amp; Southface allege that the Company </w:t>
      </w:r>
      <w:r w:rsidR="00847AD5">
        <w:rPr>
          <w:lang w:eastAsia="en-US"/>
        </w:rPr>
        <w:t>has not</w:t>
      </w:r>
      <w:r w:rsidR="003409C8">
        <w:rPr>
          <w:lang w:eastAsia="en-US"/>
        </w:rPr>
        <w:t xml:space="preserve"> met its burden of proof that certain components of the Company’s initial filing</w:t>
      </w:r>
      <w:r w:rsidR="00896534">
        <w:rPr>
          <w:lang w:eastAsia="en-US"/>
        </w:rPr>
        <w:t>,</w:t>
      </w:r>
      <w:r w:rsidR="003409C8">
        <w:rPr>
          <w:lang w:eastAsia="en-US"/>
        </w:rPr>
        <w:t xml:space="preserve"> as well as the response to Hearing Request</w:t>
      </w:r>
      <w:r w:rsidR="00464B57">
        <w:rPr>
          <w:lang w:eastAsia="en-US"/>
        </w:rPr>
        <w:t xml:space="preserve"> (“HR”)</w:t>
      </w:r>
      <w:r w:rsidR="003409C8">
        <w:rPr>
          <w:lang w:eastAsia="en-US"/>
        </w:rPr>
        <w:t xml:space="preserve"> </w:t>
      </w:r>
      <w:r w:rsidR="00464B57">
        <w:rPr>
          <w:lang w:eastAsia="en-US"/>
        </w:rPr>
        <w:t>1-</w:t>
      </w:r>
      <w:r w:rsidR="003409C8">
        <w:rPr>
          <w:lang w:eastAsia="en-US"/>
        </w:rPr>
        <w:t>2</w:t>
      </w:r>
      <w:r w:rsidR="00896534">
        <w:rPr>
          <w:lang w:eastAsia="en-US"/>
        </w:rPr>
        <w:t>,</w:t>
      </w:r>
      <w:r w:rsidR="003409C8">
        <w:rPr>
          <w:lang w:eastAsia="en-US"/>
        </w:rPr>
        <w:t xml:space="preserve"> </w:t>
      </w:r>
      <w:r w:rsidR="000F22A8">
        <w:rPr>
          <w:lang w:eastAsia="en-US"/>
        </w:rPr>
        <w:t xml:space="preserve">are trade secret </w:t>
      </w:r>
      <w:r w:rsidR="00847AD5">
        <w:rPr>
          <w:lang w:eastAsia="en-US"/>
        </w:rPr>
        <w:t>pursuant to this Commission’s rules.</w:t>
      </w:r>
      <w:r w:rsidR="00847AD5">
        <w:rPr>
          <w:rStyle w:val="FootnoteReference"/>
          <w:lang w:eastAsia="en-US"/>
        </w:rPr>
        <w:footnoteReference w:id="2"/>
      </w:r>
      <w:r w:rsidR="00847AD5">
        <w:rPr>
          <w:lang w:eastAsia="en-US"/>
        </w:rPr>
        <w:t xml:space="preserve"> </w:t>
      </w:r>
      <w:r w:rsidR="00896534">
        <w:rPr>
          <w:lang w:eastAsia="en-US"/>
        </w:rPr>
        <w:t>As explained more fully</w:t>
      </w:r>
      <w:r w:rsidR="00012690">
        <w:rPr>
          <w:lang w:eastAsia="en-US"/>
        </w:rPr>
        <w:t xml:space="preserve"> below, the Company</w:t>
      </w:r>
      <w:r w:rsidR="00896534">
        <w:rPr>
          <w:lang w:eastAsia="en-US"/>
        </w:rPr>
        <w:t>’s</w:t>
      </w:r>
      <w:r w:rsidR="00012690">
        <w:rPr>
          <w:lang w:eastAsia="en-US"/>
        </w:rPr>
        <w:t xml:space="preserve"> </w:t>
      </w:r>
      <w:r w:rsidR="00896534">
        <w:rPr>
          <w:lang w:eastAsia="en-US"/>
        </w:rPr>
        <w:t>trade secret designations are valid and fully supported by the accompanying assertions, as required by this Commission’s rule</w:t>
      </w:r>
      <w:r w:rsidR="006717FF">
        <w:rPr>
          <w:lang w:eastAsia="en-US"/>
        </w:rPr>
        <w:t>s</w:t>
      </w:r>
      <w:r w:rsidR="00896534">
        <w:rPr>
          <w:lang w:eastAsia="en-US"/>
        </w:rPr>
        <w:t xml:space="preserve">. Disclosure of </w:t>
      </w:r>
      <w:r w:rsidR="008C3B6E">
        <w:rPr>
          <w:lang w:eastAsia="en-US"/>
        </w:rPr>
        <w:t xml:space="preserve">the </w:t>
      </w:r>
      <w:r w:rsidR="00896534">
        <w:rPr>
          <w:lang w:eastAsia="en-US"/>
        </w:rPr>
        <w:t>information</w:t>
      </w:r>
      <w:r w:rsidR="008C3B6E">
        <w:rPr>
          <w:lang w:eastAsia="en-US"/>
        </w:rPr>
        <w:t xml:space="preserve"> in question</w:t>
      </w:r>
      <w:r w:rsidR="00896534">
        <w:rPr>
          <w:lang w:eastAsia="en-US"/>
        </w:rPr>
        <w:t xml:space="preserve"> </w:t>
      </w:r>
      <w:r w:rsidR="00265A9E">
        <w:rPr>
          <w:lang w:eastAsia="en-US"/>
        </w:rPr>
        <w:t>would subject the Company to</w:t>
      </w:r>
      <w:r w:rsidR="00012690">
        <w:rPr>
          <w:lang w:eastAsia="en-US"/>
        </w:rPr>
        <w:t xml:space="preserve"> potential or actual economic harm. </w:t>
      </w:r>
      <w:r w:rsidR="00147DE8">
        <w:rPr>
          <w:lang w:eastAsia="en-US"/>
        </w:rPr>
        <w:t xml:space="preserve">After further review, </w:t>
      </w:r>
      <w:r w:rsidR="006717FF">
        <w:rPr>
          <w:lang w:eastAsia="en-US"/>
        </w:rPr>
        <w:t xml:space="preserve">however, </w:t>
      </w:r>
      <w:r w:rsidR="00147DE8">
        <w:rPr>
          <w:lang w:eastAsia="en-US"/>
        </w:rPr>
        <w:t xml:space="preserve">the Company </w:t>
      </w:r>
      <w:r w:rsidR="006717FF">
        <w:rPr>
          <w:lang w:eastAsia="en-US"/>
        </w:rPr>
        <w:t xml:space="preserve">has determined that it can release limited trade secret designations related to the documents identified in the Motion as </w:t>
      </w:r>
      <w:r w:rsidR="00147DE8">
        <w:rPr>
          <w:lang w:eastAsia="en-US"/>
        </w:rPr>
        <w:t xml:space="preserve">Exhibits </w:t>
      </w:r>
      <w:r w:rsidR="0065063B">
        <w:rPr>
          <w:lang w:eastAsia="en-US"/>
        </w:rPr>
        <w:t xml:space="preserve">6A and </w:t>
      </w:r>
      <w:r w:rsidR="00147DE8">
        <w:rPr>
          <w:lang w:eastAsia="en-US"/>
        </w:rPr>
        <w:t>7A</w:t>
      </w:r>
      <w:r w:rsidR="006717FF">
        <w:rPr>
          <w:lang w:eastAsia="en-US"/>
        </w:rPr>
        <w:t>, as set forth below</w:t>
      </w:r>
      <w:r w:rsidR="00147DE8">
        <w:rPr>
          <w:lang w:eastAsia="en-US"/>
        </w:rPr>
        <w:t xml:space="preserve">. </w:t>
      </w:r>
      <w:r w:rsidR="00012690">
        <w:rPr>
          <w:lang w:eastAsia="en-US"/>
        </w:rPr>
        <w:t xml:space="preserve">Accordingly, </w:t>
      </w:r>
      <w:r w:rsidR="006717FF">
        <w:rPr>
          <w:lang w:eastAsia="en-US"/>
        </w:rPr>
        <w:t xml:space="preserve">except for that limited release of information, </w:t>
      </w:r>
      <w:r w:rsidR="00012690">
        <w:rPr>
          <w:lang w:eastAsia="en-US"/>
        </w:rPr>
        <w:t xml:space="preserve">Georgia Power requests that the Commission deny GIPL &amp; Southface’s Motion and preserve the trade secret protections </w:t>
      </w:r>
      <w:r w:rsidR="006717FF">
        <w:rPr>
          <w:lang w:eastAsia="en-US"/>
        </w:rPr>
        <w:t xml:space="preserve">as identified by Georgia Power </w:t>
      </w:r>
      <w:r w:rsidR="00CC7A6A">
        <w:rPr>
          <w:lang w:eastAsia="en-US"/>
        </w:rPr>
        <w:t>to protect the Company and its customers from economic harm</w:t>
      </w:r>
      <w:r w:rsidR="00012690">
        <w:rPr>
          <w:lang w:eastAsia="en-US"/>
        </w:rPr>
        <w:t>.</w:t>
      </w:r>
    </w:p>
    <w:p w14:paraId="0DBD0A36" w14:textId="359045A0" w:rsidR="003A2932" w:rsidRPr="007C3E27" w:rsidRDefault="001E0C5D" w:rsidP="00D267CD">
      <w:pPr>
        <w:pStyle w:val="Heading"/>
        <w:tabs>
          <w:tab w:val="left" w:pos="360"/>
        </w:tabs>
      </w:pPr>
      <w:r>
        <w:t>ARGUMENT</w:t>
      </w:r>
    </w:p>
    <w:p w14:paraId="3696C161" w14:textId="06128BB8" w:rsidR="005E68F1" w:rsidRPr="007279C9" w:rsidRDefault="00930269" w:rsidP="00D97816">
      <w:pPr>
        <w:pStyle w:val="BodyText"/>
        <w:numPr>
          <w:ilvl w:val="0"/>
          <w:numId w:val="22"/>
        </w:numPr>
        <w:spacing w:before="240"/>
        <w:ind w:left="360"/>
        <w:jc w:val="both"/>
        <w:rPr>
          <w:b/>
          <w:bCs/>
          <w:lang w:eastAsia="en-US"/>
        </w:rPr>
      </w:pPr>
      <w:r w:rsidRPr="007279C9">
        <w:rPr>
          <w:b/>
          <w:bCs/>
          <w:lang w:eastAsia="en-US"/>
        </w:rPr>
        <w:t>Legal Standard</w:t>
      </w:r>
    </w:p>
    <w:p w14:paraId="04B3FA2C" w14:textId="2426B752" w:rsidR="00F5773B" w:rsidRDefault="0078607B" w:rsidP="00F5773B">
      <w:pPr>
        <w:pStyle w:val="BodyText"/>
        <w:spacing w:after="0" w:line="480" w:lineRule="auto"/>
        <w:jc w:val="both"/>
        <w:rPr>
          <w:lang w:eastAsia="en-US"/>
        </w:rPr>
      </w:pPr>
      <w:r>
        <w:rPr>
          <w:lang w:eastAsia="en-US"/>
        </w:rPr>
        <w:t xml:space="preserve">Commission Rule 515-3-1-.11(7) governs the </w:t>
      </w:r>
      <w:r w:rsidR="001013FD">
        <w:rPr>
          <w:lang w:eastAsia="en-US"/>
        </w:rPr>
        <w:t>filing of trade secretion information with the Commission</w:t>
      </w:r>
      <w:r>
        <w:rPr>
          <w:lang w:eastAsia="en-US"/>
        </w:rPr>
        <w:t xml:space="preserve"> and</w:t>
      </w:r>
      <w:r w:rsidR="001013FD">
        <w:rPr>
          <w:lang w:eastAsia="en-US"/>
        </w:rPr>
        <w:t xml:space="preserve"> </w:t>
      </w:r>
      <w:r w:rsidR="00D13956">
        <w:rPr>
          <w:lang w:eastAsia="en-US"/>
        </w:rPr>
        <w:t>requires, at the time of filing, that t</w:t>
      </w:r>
      <w:r w:rsidR="007074CB">
        <w:rPr>
          <w:lang w:eastAsia="en-US"/>
        </w:rPr>
        <w:t xml:space="preserve">he utility </w:t>
      </w:r>
      <w:r w:rsidR="00B648E0">
        <w:rPr>
          <w:lang w:eastAsia="en-US"/>
        </w:rPr>
        <w:t>“</w:t>
      </w:r>
      <w:r w:rsidR="007074CB">
        <w:rPr>
          <w:lang w:eastAsia="en-US"/>
        </w:rPr>
        <w:t>provide by written affidavit the legal and factual basis for its assertion that the protected information is a trade secret and should not be disclosed</w:t>
      </w:r>
      <w:r w:rsidR="00B648E0">
        <w:rPr>
          <w:lang w:eastAsia="en-US"/>
        </w:rPr>
        <w:t>[.]”</w:t>
      </w:r>
      <w:r>
        <w:rPr>
          <w:lang w:eastAsia="en-US"/>
        </w:rPr>
        <w:t xml:space="preserve"> Rule 515-3-1-.11(7)(c).</w:t>
      </w:r>
      <w:r w:rsidR="00B648E0">
        <w:rPr>
          <w:lang w:eastAsia="en-US"/>
        </w:rPr>
        <w:t xml:space="preserve"> This </w:t>
      </w:r>
      <w:r>
        <w:rPr>
          <w:lang w:eastAsia="en-US"/>
        </w:rPr>
        <w:t xml:space="preserve">requirement </w:t>
      </w:r>
      <w:r w:rsidR="00B648E0">
        <w:rPr>
          <w:lang w:eastAsia="en-US"/>
        </w:rPr>
        <w:t>includes,</w:t>
      </w:r>
      <w:r w:rsidR="007074CB">
        <w:rPr>
          <w:lang w:eastAsia="en-US"/>
        </w:rPr>
        <w:t xml:space="preserve"> for each item claimed to be a trade secret:</w:t>
      </w:r>
      <w:r w:rsidR="00B648E0">
        <w:rPr>
          <w:lang w:eastAsia="en-US"/>
        </w:rPr>
        <w:t xml:space="preserve"> </w:t>
      </w:r>
    </w:p>
    <w:p w14:paraId="734CB62E" w14:textId="7EA7019E" w:rsidR="00B648E0" w:rsidRDefault="00B648E0" w:rsidP="00F5773B">
      <w:pPr>
        <w:pStyle w:val="BodyText"/>
        <w:spacing w:after="0"/>
        <w:ind w:left="720" w:firstLine="0"/>
        <w:contextualSpacing/>
        <w:jc w:val="both"/>
        <w:rPr>
          <w:lang w:eastAsia="en-US"/>
        </w:rPr>
      </w:pPr>
      <w:r>
        <w:rPr>
          <w:lang w:eastAsia="en-US"/>
        </w:rPr>
        <w:t xml:space="preserve">(1) </w:t>
      </w:r>
      <w:r w:rsidR="007074CB">
        <w:rPr>
          <w:lang w:eastAsia="en-US"/>
        </w:rPr>
        <w:t>Why the information derives economic value from not being generally known to others;</w:t>
      </w:r>
      <w:r w:rsidR="00F5773B">
        <w:rPr>
          <w:lang w:eastAsia="en-US"/>
        </w:rPr>
        <w:t xml:space="preserve"> </w:t>
      </w:r>
      <w:r>
        <w:rPr>
          <w:lang w:eastAsia="en-US"/>
        </w:rPr>
        <w:t>(2)</w:t>
      </w:r>
      <w:r w:rsidR="00D13956">
        <w:rPr>
          <w:lang w:eastAsia="en-US"/>
        </w:rPr>
        <w:t xml:space="preserve"> </w:t>
      </w:r>
      <w:r w:rsidR="007074CB">
        <w:rPr>
          <w:lang w:eastAsia="en-US"/>
        </w:rPr>
        <w:t>How others can obtain economic value from its disclosure; and</w:t>
      </w:r>
      <w:r>
        <w:rPr>
          <w:lang w:eastAsia="en-US"/>
        </w:rPr>
        <w:t xml:space="preserve"> </w:t>
      </w:r>
    </w:p>
    <w:p w14:paraId="057E54B5" w14:textId="0007EED8" w:rsidR="003257B3" w:rsidRDefault="00B648E0" w:rsidP="00F5773B">
      <w:pPr>
        <w:pStyle w:val="BodyText"/>
        <w:spacing w:after="0"/>
        <w:ind w:left="720" w:right="720" w:firstLine="0"/>
        <w:contextualSpacing/>
        <w:jc w:val="both"/>
        <w:rPr>
          <w:lang w:eastAsia="en-US"/>
        </w:rPr>
      </w:pPr>
      <w:r>
        <w:rPr>
          <w:lang w:eastAsia="en-US"/>
        </w:rPr>
        <w:t>(3)</w:t>
      </w:r>
      <w:r w:rsidR="00D13956">
        <w:rPr>
          <w:lang w:eastAsia="en-US"/>
        </w:rPr>
        <w:t xml:space="preserve"> </w:t>
      </w:r>
      <w:r w:rsidR="007074CB">
        <w:rPr>
          <w:lang w:eastAsia="en-US"/>
        </w:rPr>
        <w:t>Procedures utilized by the affected party or utility to maintain its secrecy</w:t>
      </w:r>
      <w:r>
        <w:rPr>
          <w:lang w:eastAsia="en-US"/>
        </w:rPr>
        <w:t>[.]”</w:t>
      </w:r>
    </w:p>
    <w:p w14:paraId="472A7297" w14:textId="77777777" w:rsidR="003257B3" w:rsidRDefault="003257B3" w:rsidP="003257B3">
      <w:pPr>
        <w:pStyle w:val="BodyText"/>
        <w:spacing w:after="0"/>
        <w:ind w:left="720" w:right="720" w:firstLine="0"/>
        <w:contextualSpacing/>
        <w:jc w:val="both"/>
        <w:rPr>
          <w:i/>
          <w:iCs/>
          <w:lang w:eastAsia="en-US"/>
        </w:rPr>
      </w:pPr>
    </w:p>
    <w:p w14:paraId="15B6A87F" w14:textId="6FF939C7" w:rsidR="00DF5463" w:rsidRPr="007F6B0E" w:rsidRDefault="007F6B0E" w:rsidP="00D97816">
      <w:pPr>
        <w:pStyle w:val="BodyText"/>
        <w:spacing w:after="0"/>
        <w:ind w:left="720" w:right="720" w:firstLine="0"/>
        <w:contextualSpacing/>
        <w:jc w:val="both"/>
        <w:rPr>
          <w:lang w:eastAsia="en-US"/>
        </w:rPr>
      </w:pPr>
      <w:r>
        <w:rPr>
          <w:i/>
          <w:iCs/>
          <w:lang w:eastAsia="en-US"/>
        </w:rPr>
        <w:t>Id.</w:t>
      </w:r>
    </w:p>
    <w:p w14:paraId="4B261E60" w14:textId="1A0039D0" w:rsidR="00B648E0" w:rsidRDefault="00D13956" w:rsidP="00B648E0">
      <w:pPr>
        <w:pStyle w:val="BodyText"/>
        <w:spacing w:after="0" w:line="480" w:lineRule="auto"/>
        <w:ind w:firstLine="0"/>
        <w:jc w:val="both"/>
        <w:rPr>
          <w:lang w:eastAsia="en-US"/>
        </w:rPr>
      </w:pPr>
      <w:r>
        <w:rPr>
          <w:lang w:eastAsia="en-US"/>
        </w:rPr>
        <w:lastRenderedPageBreak/>
        <w:t xml:space="preserve">The Commission broadly defines a trade secret </w:t>
      </w:r>
      <w:r w:rsidR="00B648E0">
        <w:rPr>
          <w:lang w:eastAsia="en-US"/>
        </w:rPr>
        <w:t>as</w:t>
      </w:r>
      <w:r>
        <w:rPr>
          <w:lang w:eastAsia="en-US"/>
        </w:rPr>
        <w:t xml:space="preserve"> </w:t>
      </w:r>
    </w:p>
    <w:p w14:paraId="5BAF9053" w14:textId="6245B981" w:rsidR="00D13956" w:rsidRDefault="00B648E0" w:rsidP="00B648E0">
      <w:pPr>
        <w:pStyle w:val="BodyText"/>
        <w:ind w:left="720" w:right="720" w:firstLine="0"/>
        <w:jc w:val="both"/>
        <w:rPr>
          <w:lang w:eastAsia="en-US"/>
        </w:rPr>
      </w:pPr>
      <w:r>
        <w:rPr>
          <w:lang w:eastAsia="en-US"/>
        </w:rPr>
        <w:t>I</w:t>
      </w:r>
      <w:r w:rsidR="00D13956">
        <w:rPr>
          <w:lang w:eastAsia="en-US"/>
        </w:rPr>
        <w:t>nformation</w:t>
      </w:r>
      <w:r>
        <w:rPr>
          <w:lang w:eastAsia="en-US"/>
        </w:rPr>
        <w:t xml:space="preserve"> . . . </w:t>
      </w:r>
      <w:r w:rsidR="00D13956">
        <w:rPr>
          <w:lang w:eastAsia="en-US"/>
        </w:rPr>
        <w:t>which is not commonly known by or available to the public and which information:</w:t>
      </w:r>
    </w:p>
    <w:p w14:paraId="3E3DF87F" w14:textId="77777777" w:rsidR="00D13956" w:rsidRDefault="00D13956" w:rsidP="00B648E0">
      <w:pPr>
        <w:pStyle w:val="BodyText"/>
        <w:ind w:left="1440" w:right="720" w:firstLine="0"/>
        <w:jc w:val="both"/>
        <w:rPr>
          <w:lang w:eastAsia="en-US"/>
        </w:rPr>
      </w:pPr>
      <w:r>
        <w:rPr>
          <w:lang w:eastAsia="en-US"/>
        </w:rPr>
        <w:t xml:space="preserve">(A) Derives economic </w:t>
      </w:r>
      <w:r w:rsidRPr="0065317F">
        <w:rPr>
          <w:lang w:eastAsia="en-US"/>
        </w:rPr>
        <w:t>value, actual or potential, from</w:t>
      </w:r>
      <w:r>
        <w:rPr>
          <w:lang w:eastAsia="en-US"/>
        </w:rPr>
        <w:t xml:space="preserve"> not being generally known to, and not being readily ascertainable by proper means by, other persons who can obtain economic value from its disclosure or use; and</w:t>
      </w:r>
    </w:p>
    <w:p w14:paraId="44DBD835" w14:textId="598AAADE" w:rsidR="00D13956" w:rsidRDefault="00D13956" w:rsidP="00B648E0">
      <w:pPr>
        <w:pStyle w:val="BodyText"/>
        <w:ind w:left="1440" w:right="720" w:firstLine="0"/>
        <w:jc w:val="both"/>
        <w:rPr>
          <w:lang w:eastAsia="en-US"/>
        </w:rPr>
      </w:pPr>
      <w:r>
        <w:rPr>
          <w:lang w:eastAsia="en-US"/>
        </w:rPr>
        <w:t>(B) Is the subject of efforts that are reasonable under the circumstances to maintain its secrecy.</w:t>
      </w:r>
    </w:p>
    <w:p w14:paraId="45A58B49" w14:textId="6EAB0497" w:rsidR="00DF5463" w:rsidRDefault="00DF5463" w:rsidP="00D97816">
      <w:pPr>
        <w:pStyle w:val="BodyText"/>
        <w:spacing w:after="0" w:line="480" w:lineRule="auto"/>
        <w:ind w:firstLine="0"/>
        <w:jc w:val="both"/>
        <w:rPr>
          <w:lang w:eastAsia="en-US"/>
        </w:rPr>
      </w:pPr>
      <w:r>
        <w:rPr>
          <w:lang w:eastAsia="en-US"/>
        </w:rPr>
        <w:t xml:space="preserve">O.C.G.A. § 10-1-761(4) (as adopted by Commission </w:t>
      </w:r>
      <w:r w:rsidRPr="00DF5463">
        <w:rPr>
          <w:lang w:eastAsia="en-US"/>
        </w:rPr>
        <w:t>Rule 515-3-1-.11</w:t>
      </w:r>
      <w:r>
        <w:rPr>
          <w:lang w:eastAsia="en-US"/>
        </w:rPr>
        <w:t xml:space="preserve">(1)). </w:t>
      </w:r>
      <w:r w:rsidR="00937659">
        <w:rPr>
          <w:lang w:eastAsia="en-US"/>
        </w:rPr>
        <w:t xml:space="preserve">Consistent with the </w:t>
      </w:r>
      <w:r w:rsidR="00D91A0E">
        <w:rPr>
          <w:lang w:eastAsia="en-US"/>
        </w:rPr>
        <w:t xml:space="preserve">spirit of the </w:t>
      </w:r>
      <w:r w:rsidR="00937659">
        <w:rPr>
          <w:lang w:eastAsia="en-US"/>
        </w:rPr>
        <w:t xml:space="preserve">Commission’s rules, the Company </w:t>
      </w:r>
      <w:r w:rsidR="00D91A0E">
        <w:rPr>
          <w:lang w:eastAsia="en-US"/>
        </w:rPr>
        <w:t xml:space="preserve">has agreed to </w:t>
      </w:r>
      <w:r w:rsidR="00937659">
        <w:rPr>
          <w:lang w:eastAsia="en-US"/>
        </w:rPr>
        <w:t>provide intervening parties</w:t>
      </w:r>
      <w:r w:rsidR="00A77FF8">
        <w:rPr>
          <w:lang w:eastAsia="en-US"/>
        </w:rPr>
        <w:t xml:space="preserve"> in contested cases</w:t>
      </w:r>
      <w:r w:rsidR="00937659">
        <w:rPr>
          <w:lang w:eastAsia="en-US"/>
        </w:rPr>
        <w:t xml:space="preserve"> access to requested trade secret information upon the execution of a confidentiality agreement.</w:t>
      </w:r>
      <w:r w:rsidR="00D91A0E">
        <w:rPr>
          <w:rStyle w:val="FootnoteReference"/>
          <w:lang w:eastAsia="en-US"/>
        </w:rPr>
        <w:footnoteReference w:id="3"/>
      </w:r>
      <w:r w:rsidR="00937659">
        <w:rPr>
          <w:lang w:eastAsia="en-US"/>
        </w:rPr>
        <w:t xml:space="preserve"> </w:t>
      </w:r>
    </w:p>
    <w:p w14:paraId="097E764C" w14:textId="1303B690" w:rsidR="00805CA8" w:rsidRPr="007279C9" w:rsidRDefault="008B4A4F" w:rsidP="00D97816">
      <w:pPr>
        <w:pStyle w:val="BodyText"/>
        <w:numPr>
          <w:ilvl w:val="0"/>
          <w:numId w:val="22"/>
        </w:numPr>
        <w:spacing w:before="240"/>
        <w:ind w:left="360"/>
        <w:jc w:val="both"/>
        <w:rPr>
          <w:b/>
          <w:bCs/>
          <w:lang w:eastAsia="en-US"/>
        </w:rPr>
      </w:pPr>
      <w:r w:rsidRPr="007279C9">
        <w:rPr>
          <w:b/>
          <w:bCs/>
          <w:lang w:eastAsia="en-US"/>
        </w:rPr>
        <w:t>Georgia Power Company</w:t>
      </w:r>
      <w:r w:rsidR="00D63157" w:rsidRPr="007279C9">
        <w:rPr>
          <w:b/>
          <w:bCs/>
          <w:lang w:eastAsia="en-US"/>
        </w:rPr>
        <w:t xml:space="preserve">’s trade secret information should </w:t>
      </w:r>
      <w:r w:rsidR="00704940" w:rsidRPr="007279C9">
        <w:rPr>
          <w:b/>
          <w:bCs/>
          <w:lang w:eastAsia="en-US"/>
        </w:rPr>
        <w:t>remain</w:t>
      </w:r>
      <w:r w:rsidR="00D63157" w:rsidRPr="007279C9">
        <w:rPr>
          <w:b/>
          <w:bCs/>
          <w:lang w:eastAsia="en-US"/>
        </w:rPr>
        <w:t xml:space="preserve"> protected</w:t>
      </w:r>
      <w:r w:rsidRPr="007279C9">
        <w:rPr>
          <w:b/>
          <w:bCs/>
          <w:lang w:eastAsia="en-US"/>
        </w:rPr>
        <w:t>.</w:t>
      </w:r>
      <w:r w:rsidR="00805CA8" w:rsidRPr="007279C9">
        <w:rPr>
          <w:b/>
          <w:bCs/>
          <w:lang w:eastAsia="en-US"/>
        </w:rPr>
        <w:t xml:space="preserve"> </w:t>
      </w:r>
    </w:p>
    <w:p w14:paraId="7798C151" w14:textId="395D66D3" w:rsidR="00413D39" w:rsidRDefault="00F5773B" w:rsidP="003257B3">
      <w:pPr>
        <w:pStyle w:val="BodyText"/>
        <w:spacing w:line="480" w:lineRule="auto"/>
        <w:jc w:val="both"/>
        <w:rPr>
          <w:lang w:eastAsia="en-US"/>
        </w:rPr>
      </w:pPr>
      <w:r>
        <w:rPr>
          <w:lang w:eastAsia="en-US"/>
        </w:rPr>
        <w:t>W</w:t>
      </w:r>
      <w:r w:rsidR="007F6B0E">
        <w:rPr>
          <w:lang w:eastAsia="en-US"/>
        </w:rPr>
        <w:t>hen Georgia Power file</w:t>
      </w:r>
      <w:r w:rsidR="00805CA8">
        <w:rPr>
          <w:lang w:eastAsia="en-US"/>
        </w:rPr>
        <w:t>d</w:t>
      </w:r>
      <w:r w:rsidR="007F6B0E">
        <w:rPr>
          <w:lang w:eastAsia="en-US"/>
        </w:rPr>
        <w:t xml:space="preserve"> its 2025 IRP</w:t>
      </w:r>
      <w:r w:rsidR="00286815">
        <w:rPr>
          <w:lang w:eastAsia="en-US"/>
        </w:rPr>
        <w:t xml:space="preserve"> and supporting Technical Appendices</w:t>
      </w:r>
      <w:r w:rsidR="00805CA8">
        <w:rPr>
          <w:lang w:eastAsia="en-US"/>
        </w:rPr>
        <w:t xml:space="preserve"> on January 31, 2025</w:t>
      </w:r>
      <w:r w:rsidR="00413D39">
        <w:rPr>
          <w:lang w:eastAsia="en-US"/>
        </w:rPr>
        <w:t>,</w:t>
      </w:r>
      <w:r w:rsidR="00805CA8">
        <w:rPr>
          <w:lang w:eastAsia="en-US"/>
        </w:rPr>
        <w:t xml:space="preserve"> and HR 1-2 on </w:t>
      </w:r>
      <w:r w:rsidR="00882B59">
        <w:rPr>
          <w:lang w:eastAsia="en-US"/>
        </w:rPr>
        <w:t>April 3, 2025</w:t>
      </w:r>
      <w:r w:rsidR="007F6B0E">
        <w:rPr>
          <w:lang w:eastAsia="en-US"/>
        </w:rPr>
        <w:t xml:space="preserve">, it included </w:t>
      </w:r>
      <w:r w:rsidR="0008170F">
        <w:rPr>
          <w:lang w:eastAsia="en-US"/>
        </w:rPr>
        <w:t xml:space="preserve">verified trade secret assertions consistent </w:t>
      </w:r>
      <w:r w:rsidR="00BC1375">
        <w:rPr>
          <w:lang w:eastAsia="en-US"/>
        </w:rPr>
        <w:t xml:space="preserve">with </w:t>
      </w:r>
      <w:r w:rsidR="00436A76">
        <w:rPr>
          <w:lang w:eastAsia="en-US"/>
        </w:rPr>
        <w:t>this Commission’s rules</w:t>
      </w:r>
      <w:r w:rsidR="004D6BFD">
        <w:rPr>
          <w:lang w:eastAsia="en-US"/>
        </w:rPr>
        <w:t>.</w:t>
      </w:r>
      <w:r w:rsidR="004D6BFD">
        <w:rPr>
          <w:rStyle w:val="FootnoteReference"/>
          <w:lang w:eastAsia="en-US"/>
        </w:rPr>
        <w:footnoteReference w:id="4"/>
      </w:r>
      <w:r w:rsidR="00436A76">
        <w:rPr>
          <w:lang w:eastAsia="en-US"/>
        </w:rPr>
        <w:t xml:space="preserve"> </w:t>
      </w:r>
      <w:r w:rsidR="00413D39">
        <w:rPr>
          <w:lang w:eastAsia="en-US"/>
        </w:rPr>
        <w:t xml:space="preserve">GIPL &amp; Southface </w:t>
      </w:r>
      <w:r w:rsidR="00375A76">
        <w:rPr>
          <w:lang w:eastAsia="en-US"/>
        </w:rPr>
        <w:t xml:space="preserve">now </w:t>
      </w:r>
      <w:r w:rsidR="004D6BFD">
        <w:rPr>
          <w:lang w:eastAsia="en-US"/>
        </w:rPr>
        <w:t xml:space="preserve">broadly </w:t>
      </w:r>
      <w:r w:rsidR="00413D39">
        <w:rPr>
          <w:lang w:eastAsia="en-US"/>
        </w:rPr>
        <w:t>argue that the Company</w:t>
      </w:r>
      <w:r w:rsidR="00CE6733">
        <w:rPr>
          <w:lang w:eastAsia="en-US"/>
        </w:rPr>
        <w:t>’s trade secret assertions</w:t>
      </w:r>
      <w:r w:rsidR="00413D39">
        <w:rPr>
          <w:lang w:eastAsia="en-US"/>
        </w:rPr>
        <w:t xml:space="preserve"> (a) did not demonstrate economic harm, (b) did not identify how and which competitors could obtain economic value from the information, and (c) that the Company did not demonstrate that adequate protections are in place to maintain the secrecy of the information. </w:t>
      </w:r>
      <w:r w:rsidR="00CE6733">
        <w:rPr>
          <w:lang w:eastAsia="en-US"/>
        </w:rPr>
        <w:t>Th</w:t>
      </w:r>
      <w:r w:rsidR="008014F1">
        <w:rPr>
          <w:lang w:eastAsia="en-US"/>
        </w:rPr>
        <w:t>ese allegations are</w:t>
      </w:r>
      <w:r w:rsidR="00CE6733">
        <w:rPr>
          <w:lang w:eastAsia="en-US"/>
        </w:rPr>
        <w:t xml:space="preserve"> unfounded</w:t>
      </w:r>
      <w:r w:rsidR="00946BC1">
        <w:rPr>
          <w:lang w:eastAsia="en-US"/>
        </w:rPr>
        <w:t>,</w:t>
      </w:r>
      <w:r w:rsidR="006D3E93">
        <w:rPr>
          <w:lang w:eastAsia="en-US"/>
        </w:rPr>
        <w:t xml:space="preserve"> as demonstrated in turn below</w:t>
      </w:r>
      <w:r w:rsidR="00CE6733">
        <w:rPr>
          <w:lang w:eastAsia="en-US"/>
        </w:rPr>
        <w:t xml:space="preserve">. </w:t>
      </w:r>
    </w:p>
    <w:p w14:paraId="16FFEF6C" w14:textId="05ACA2D0" w:rsidR="00C9471C" w:rsidRPr="00704940" w:rsidRDefault="00C9471C" w:rsidP="00A35C30">
      <w:pPr>
        <w:pStyle w:val="BodyText"/>
        <w:numPr>
          <w:ilvl w:val="0"/>
          <w:numId w:val="21"/>
        </w:numPr>
        <w:ind w:left="1080"/>
        <w:jc w:val="both"/>
        <w:rPr>
          <w:u w:val="single"/>
          <w:lang w:eastAsia="en-US"/>
        </w:rPr>
      </w:pPr>
      <w:r w:rsidRPr="00704940">
        <w:rPr>
          <w:u w:val="single"/>
          <w:lang w:eastAsia="en-US"/>
        </w:rPr>
        <w:t xml:space="preserve">Georgia Power </w:t>
      </w:r>
      <w:r w:rsidR="00B45A34" w:rsidRPr="00704940">
        <w:rPr>
          <w:u w:val="single"/>
          <w:lang w:eastAsia="en-US"/>
        </w:rPr>
        <w:t xml:space="preserve">has established </w:t>
      </w:r>
      <w:r w:rsidR="008B4A4F" w:rsidRPr="00704940">
        <w:rPr>
          <w:u w:val="single"/>
          <w:lang w:eastAsia="en-US"/>
        </w:rPr>
        <w:t xml:space="preserve">actual </w:t>
      </w:r>
      <w:r w:rsidR="007279C9">
        <w:rPr>
          <w:u w:val="single"/>
          <w:lang w:eastAsia="en-US"/>
        </w:rPr>
        <w:t>or</w:t>
      </w:r>
      <w:r w:rsidR="008B4A4F" w:rsidRPr="00704940">
        <w:rPr>
          <w:u w:val="single"/>
          <w:lang w:eastAsia="en-US"/>
        </w:rPr>
        <w:t xml:space="preserve"> potential </w:t>
      </w:r>
      <w:r w:rsidR="00B45A34" w:rsidRPr="00704940">
        <w:rPr>
          <w:u w:val="single"/>
          <w:lang w:eastAsia="en-US"/>
        </w:rPr>
        <w:t>economic harm that would result from the disclosure of its trade secret information.</w:t>
      </w:r>
      <w:r w:rsidRPr="00704940">
        <w:rPr>
          <w:u w:val="single"/>
          <w:lang w:eastAsia="en-US"/>
        </w:rPr>
        <w:t xml:space="preserve"> </w:t>
      </w:r>
    </w:p>
    <w:p w14:paraId="402A6C00" w14:textId="5CEA059F" w:rsidR="00214C0D" w:rsidRDefault="00443348" w:rsidP="00A35C30">
      <w:pPr>
        <w:pStyle w:val="BodyText"/>
        <w:spacing w:line="480" w:lineRule="auto"/>
        <w:jc w:val="both"/>
        <w:rPr>
          <w:lang w:eastAsia="en-US"/>
        </w:rPr>
      </w:pPr>
      <w:r>
        <w:rPr>
          <w:lang w:eastAsia="en-US"/>
        </w:rPr>
        <w:t xml:space="preserve">GIPL &amp; Southface’s Motion repeats several unsupported arguments </w:t>
      </w:r>
      <w:r w:rsidR="0078607B">
        <w:rPr>
          <w:lang w:eastAsia="en-US"/>
        </w:rPr>
        <w:t>regarding</w:t>
      </w:r>
      <w:r>
        <w:rPr>
          <w:lang w:eastAsia="en-US"/>
        </w:rPr>
        <w:t xml:space="preserve"> each of the challenged </w:t>
      </w:r>
      <w:r w:rsidR="007279C9">
        <w:rPr>
          <w:lang w:eastAsia="en-US"/>
        </w:rPr>
        <w:t>exhibits</w:t>
      </w:r>
      <w:r>
        <w:rPr>
          <w:lang w:eastAsia="en-US"/>
        </w:rPr>
        <w:t>. While t</w:t>
      </w:r>
      <w:r w:rsidR="00113708">
        <w:rPr>
          <w:lang w:eastAsia="en-US"/>
        </w:rPr>
        <w:t xml:space="preserve">he Company responds to the specific allegations in greater detail </w:t>
      </w:r>
      <w:r w:rsidR="00113708">
        <w:rPr>
          <w:lang w:eastAsia="en-US"/>
        </w:rPr>
        <w:lastRenderedPageBreak/>
        <w:t>below</w:t>
      </w:r>
      <w:r>
        <w:rPr>
          <w:lang w:eastAsia="en-US"/>
        </w:rPr>
        <w:t>,</w:t>
      </w:r>
      <w:r w:rsidR="00113708">
        <w:rPr>
          <w:lang w:eastAsia="en-US"/>
        </w:rPr>
        <w:t xml:space="preserve"> Georgia Power addresses certain repeated allegations </w:t>
      </w:r>
      <w:r w:rsidR="00375A76">
        <w:rPr>
          <w:lang w:eastAsia="en-US"/>
        </w:rPr>
        <w:t>at the outset</w:t>
      </w:r>
      <w:r w:rsidR="00113708">
        <w:rPr>
          <w:lang w:eastAsia="en-US"/>
        </w:rPr>
        <w:t>. T</w:t>
      </w:r>
      <w:r w:rsidR="00214C0D">
        <w:rPr>
          <w:lang w:eastAsia="en-US"/>
        </w:rPr>
        <w:t xml:space="preserve">he Company has met its burden of proof to demonstrate why the trade secret information derives economic value from not being generally known to others. The Company is not required to demonstrate </w:t>
      </w:r>
      <w:r w:rsidR="00214C0D">
        <w:rPr>
          <w:i/>
          <w:iCs/>
          <w:lang w:eastAsia="en-US"/>
        </w:rPr>
        <w:t>actual</w:t>
      </w:r>
      <w:r w:rsidR="00214C0D">
        <w:rPr>
          <w:lang w:eastAsia="en-US"/>
        </w:rPr>
        <w:t xml:space="preserve"> harm. Indeed, trade secret information is defined as that which “is not commonly known by or available to the public and which information . . . [d]erives economic value</w:t>
      </w:r>
      <w:r w:rsidR="00214C0D" w:rsidRPr="00BC1BAF">
        <w:rPr>
          <w:lang w:eastAsia="en-US"/>
        </w:rPr>
        <w:t xml:space="preserve">, </w:t>
      </w:r>
      <w:r w:rsidR="00214C0D" w:rsidRPr="00BC1BAF">
        <w:rPr>
          <w:i/>
          <w:iCs/>
          <w:lang w:eastAsia="en-US"/>
        </w:rPr>
        <w:t>actual or potential</w:t>
      </w:r>
      <w:r w:rsidR="00214C0D" w:rsidRPr="00BC1BAF">
        <w:rPr>
          <w:lang w:eastAsia="en-US"/>
        </w:rPr>
        <w:t>,</w:t>
      </w:r>
      <w:r w:rsidR="00214C0D">
        <w:rPr>
          <w:lang w:eastAsia="en-US"/>
        </w:rPr>
        <w:t xml:space="preserve"> from not being generally known to, and not being readily ascertainable by proper means by, other persons who can obtain economic value from its disclosure or use[.]”</w:t>
      </w:r>
      <w:r w:rsidR="00214C0D">
        <w:rPr>
          <w:rStyle w:val="FootnoteReference"/>
          <w:lang w:eastAsia="en-US"/>
        </w:rPr>
        <w:footnoteReference w:id="5"/>
      </w:r>
      <w:r w:rsidR="00214C0D">
        <w:rPr>
          <w:lang w:eastAsia="en-US"/>
        </w:rPr>
        <w:t xml:space="preserve"> As demonstrated in the </w:t>
      </w:r>
      <w:r w:rsidR="009C31FC">
        <w:rPr>
          <w:lang w:eastAsia="en-US"/>
        </w:rPr>
        <w:t xml:space="preserve">Company’s trade secret </w:t>
      </w:r>
      <w:r w:rsidR="00214C0D">
        <w:rPr>
          <w:lang w:eastAsia="en-US"/>
        </w:rPr>
        <w:t xml:space="preserve">assertions and </w:t>
      </w:r>
      <w:r w:rsidR="009C31FC">
        <w:rPr>
          <w:lang w:eastAsia="en-US"/>
        </w:rPr>
        <w:t>detailed in response to specific exhibits identified in the Motion</w:t>
      </w:r>
      <w:r w:rsidR="00BF19F1">
        <w:rPr>
          <w:lang w:eastAsia="en-US"/>
        </w:rPr>
        <w:t xml:space="preserve"> below</w:t>
      </w:r>
      <w:r w:rsidR="00214C0D">
        <w:rPr>
          <w:lang w:eastAsia="en-US"/>
        </w:rPr>
        <w:t xml:space="preserve">, </w:t>
      </w:r>
      <w:r w:rsidR="009C31FC">
        <w:rPr>
          <w:lang w:eastAsia="en-US"/>
        </w:rPr>
        <w:t>Georgia Power</w:t>
      </w:r>
      <w:r w:rsidR="00214C0D">
        <w:rPr>
          <w:lang w:eastAsia="en-US"/>
        </w:rPr>
        <w:t xml:space="preserve"> has </w:t>
      </w:r>
      <w:r w:rsidR="007279C9">
        <w:rPr>
          <w:lang w:eastAsia="en-US"/>
        </w:rPr>
        <w:t>sati</w:t>
      </w:r>
      <w:r w:rsidR="006D3E93">
        <w:rPr>
          <w:lang w:eastAsia="en-US"/>
        </w:rPr>
        <w:t>s</w:t>
      </w:r>
      <w:r w:rsidR="007279C9">
        <w:rPr>
          <w:lang w:eastAsia="en-US"/>
        </w:rPr>
        <w:t>fied</w:t>
      </w:r>
      <w:r w:rsidR="00214C0D">
        <w:rPr>
          <w:lang w:eastAsia="en-US"/>
        </w:rPr>
        <w:t xml:space="preserve"> this burden.</w:t>
      </w:r>
    </w:p>
    <w:p w14:paraId="3EDF99FC" w14:textId="27EC9BBD" w:rsidR="00B45A34" w:rsidRPr="00704940" w:rsidRDefault="00B45A34" w:rsidP="00A35C30">
      <w:pPr>
        <w:pStyle w:val="BodyText"/>
        <w:numPr>
          <w:ilvl w:val="0"/>
          <w:numId w:val="21"/>
        </w:numPr>
        <w:ind w:left="1080"/>
        <w:jc w:val="both"/>
        <w:rPr>
          <w:u w:val="single"/>
          <w:lang w:eastAsia="en-US"/>
        </w:rPr>
      </w:pPr>
      <w:r w:rsidRPr="00704940">
        <w:rPr>
          <w:u w:val="single"/>
          <w:lang w:eastAsia="en-US"/>
        </w:rPr>
        <w:t xml:space="preserve">Georgia Power </w:t>
      </w:r>
      <w:r w:rsidR="00D4504C" w:rsidRPr="00704940">
        <w:rPr>
          <w:u w:val="single"/>
          <w:lang w:eastAsia="en-US"/>
        </w:rPr>
        <w:t xml:space="preserve">faces </w:t>
      </w:r>
      <w:r w:rsidR="00BF19F1" w:rsidRPr="00704940">
        <w:rPr>
          <w:u w:val="single"/>
          <w:lang w:eastAsia="en-US"/>
        </w:rPr>
        <w:t>a number of competitors</w:t>
      </w:r>
      <w:r w:rsidR="008B4A4F" w:rsidRPr="00704940">
        <w:rPr>
          <w:u w:val="single"/>
          <w:lang w:eastAsia="en-US"/>
        </w:rPr>
        <w:t xml:space="preserve"> in Georgia and across the country</w:t>
      </w:r>
      <w:r w:rsidR="00D4504C" w:rsidRPr="00D267CD">
        <w:rPr>
          <w:lang w:eastAsia="en-US"/>
        </w:rPr>
        <w:t>.</w:t>
      </w:r>
      <w:r w:rsidR="00D4504C" w:rsidRPr="00704940">
        <w:rPr>
          <w:u w:val="single"/>
          <w:lang w:eastAsia="en-US"/>
        </w:rPr>
        <w:t xml:space="preserve"> </w:t>
      </w:r>
    </w:p>
    <w:p w14:paraId="62564DC6" w14:textId="438842F1" w:rsidR="00DA18BC" w:rsidRDefault="00214C0D" w:rsidP="00A35C30">
      <w:pPr>
        <w:pStyle w:val="BodyText"/>
        <w:spacing w:after="0" w:line="480" w:lineRule="auto"/>
        <w:jc w:val="both"/>
        <w:rPr>
          <w:lang w:eastAsia="en-US"/>
        </w:rPr>
      </w:pPr>
      <w:r>
        <w:rPr>
          <w:lang w:eastAsia="en-US"/>
        </w:rPr>
        <w:t>A significant position underpinning GIPL &amp; Southface</w:t>
      </w:r>
      <w:r w:rsidR="00DC716A">
        <w:rPr>
          <w:lang w:eastAsia="en-US"/>
        </w:rPr>
        <w:t>’s</w:t>
      </w:r>
      <w:r>
        <w:rPr>
          <w:lang w:eastAsia="en-US"/>
        </w:rPr>
        <w:t xml:space="preserve"> Motion is the notion that Georgia Power does not experience </w:t>
      </w:r>
      <w:r w:rsidR="00DA18BC">
        <w:rPr>
          <w:iCs/>
          <w:lang w:val="x-none" w:eastAsia="en-US"/>
        </w:rPr>
        <w:t>competition because the Company is the only regulated electric utility in the state</w:t>
      </w:r>
      <w:r>
        <w:rPr>
          <w:iCs/>
          <w:lang w:val="x-none" w:eastAsia="en-US"/>
        </w:rPr>
        <w:t xml:space="preserve">. This </w:t>
      </w:r>
      <w:r w:rsidR="00143F03">
        <w:rPr>
          <w:iCs/>
          <w:lang w:val="x-none" w:eastAsia="en-US"/>
        </w:rPr>
        <w:t xml:space="preserve">argument </w:t>
      </w:r>
      <w:r w:rsidR="00AA59C4">
        <w:rPr>
          <w:lang w:eastAsia="en-US"/>
        </w:rPr>
        <w:t xml:space="preserve">is entirely misplaced. </w:t>
      </w:r>
      <w:r w:rsidR="00DC716A">
        <w:rPr>
          <w:lang w:eastAsia="en-US"/>
        </w:rPr>
        <w:t xml:space="preserve">While </w:t>
      </w:r>
      <w:r w:rsidR="00AA59C4">
        <w:rPr>
          <w:lang w:eastAsia="en-US"/>
        </w:rPr>
        <w:t xml:space="preserve">Georgia Power </w:t>
      </w:r>
      <w:r w:rsidR="00DC716A">
        <w:rPr>
          <w:lang w:eastAsia="en-US"/>
        </w:rPr>
        <w:t>is</w:t>
      </w:r>
      <w:r w:rsidR="00AA59C4">
        <w:rPr>
          <w:lang w:eastAsia="en-US"/>
        </w:rPr>
        <w:t xml:space="preserve"> the only</w:t>
      </w:r>
      <w:r w:rsidR="0030635E">
        <w:rPr>
          <w:lang w:eastAsia="en-US"/>
        </w:rPr>
        <w:t xml:space="preserve"> </w:t>
      </w:r>
      <w:r w:rsidR="00A35C30">
        <w:rPr>
          <w:lang w:eastAsia="en-US"/>
        </w:rPr>
        <w:t>rate-</w:t>
      </w:r>
      <w:r w:rsidR="00AA59C4">
        <w:rPr>
          <w:lang w:eastAsia="en-US"/>
        </w:rPr>
        <w:t xml:space="preserve">regulated public </w:t>
      </w:r>
      <w:r w:rsidR="00DA18BC">
        <w:rPr>
          <w:lang w:eastAsia="en-US"/>
        </w:rPr>
        <w:t xml:space="preserve">electric </w:t>
      </w:r>
      <w:r w:rsidR="00AA59C4">
        <w:rPr>
          <w:lang w:eastAsia="en-US"/>
        </w:rPr>
        <w:t xml:space="preserve">utility in </w:t>
      </w:r>
      <w:r w:rsidR="00DA18BC">
        <w:rPr>
          <w:lang w:eastAsia="en-US"/>
        </w:rPr>
        <w:t>Georgia</w:t>
      </w:r>
      <w:r w:rsidR="00AA59C4">
        <w:rPr>
          <w:lang w:eastAsia="en-US"/>
        </w:rPr>
        <w:t xml:space="preserve">, there are 41 Electrical Membership Corporations </w:t>
      </w:r>
      <w:r w:rsidR="009C31FC">
        <w:rPr>
          <w:lang w:eastAsia="en-US"/>
        </w:rPr>
        <w:t>and</w:t>
      </w:r>
      <w:r w:rsidR="00026B36">
        <w:rPr>
          <w:lang w:eastAsia="en-US"/>
        </w:rPr>
        <w:t xml:space="preserve"> 52 municipalities that supply retail electric service within the state of Georgia. In addition, Georgia Power also competes with and serves alongside</w:t>
      </w:r>
      <w:r w:rsidR="00AA59C4">
        <w:rPr>
          <w:lang w:eastAsia="en-US"/>
        </w:rPr>
        <w:t xml:space="preserve"> </w:t>
      </w:r>
      <w:r w:rsidR="00976C0B">
        <w:rPr>
          <w:lang w:eastAsia="en-US"/>
        </w:rPr>
        <w:t xml:space="preserve">separate </w:t>
      </w:r>
      <w:r w:rsidR="00AA59C4">
        <w:rPr>
          <w:lang w:eastAsia="en-US"/>
        </w:rPr>
        <w:t xml:space="preserve">wholesale power suppliers that operate in </w:t>
      </w:r>
      <w:r w:rsidR="00DE1A1D">
        <w:rPr>
          <w:lang w:eastAsia="en-US"/>
        </w:rPr>
        <w:t>the state</w:t>
      </w:r>
      <w:r w:rsidR="00AA59C4">
        <w:rPr>
          <w:lang w:eastAsia="en-US"/>
        </w:rPr>
        <w:t>. The Company directly competes with these entities for the ability to serve customer choice customers</w:t>
      </w:r>
      <w:r w:rsidR="00026B36">
        <w:rPr>
          <w:lang w:eastAsia="en-US"/>
        </w:rPr>
        <w:t>—those eligible to choose their electric supplier under the Georgia Territorial Electric Service Act</w:t>
      </w:r>
      <w:r w:rsidR="00AA59C4">
        <w:rPr>
          <w:lang w:eastAsia="en-US"/>
        </w:rPr>
        <w:t>.</w:t>
      </w:r>
      <w:r w:rsidR="00026B36">
        <w:rPr>
          <w:rStyle w:val="FootnoteReference"/>
          <w:lang w:eastAsia="en-US"/>
        </w:rPr>
        <w:footnoteReference w:id="6"/>
      </w:r>
      <w:r w:rsidR="00AA59C4">
        <w:rPr>
          <w:lang w:eastAsia="en-US"/>
        </w:rPr>
        <w:t xml:space="preserve"> But that is not all. </w:t>
      </w:r>
      <w:r w:rsidR="0065063B">
        <w:rPr>
          <w:lang w:eastAsia="en-US"/>
        </w:rPr>
        <w:t>I</w:t>
      </w:r>
      <w:r w:rsidR="00AA59C4">
        <w:rPr>
          <w:lang w:eastAsia="en-US"/>
        </w:rPr>
        <w:t>n the current energy landscape where there is significant load growth across the country, Georgia Power is not only competing in state for customer choice opportunities but is competing with out-of-state electric utilities to bring business to Georgia.</w:t>
      </w:r>
      <w:r w:rsidR="0065063B">
        <w:rPr>
          <w:lang w:eastAsia="en-US"/>
        </w:rPr>
        <w:t xml:space="preserve"> </w:t>
      </w:r>
      <w:r w:rsidR="00DC716A">
        <w:rPr>
          <w:lang w:eastAsia="en-US"/>
        </w:rPr>
        <w:lastRenderedPageBreak/>
        <w:t xml:space="preserve">These efforts have contributed to </w:t>
      </w:r>
      <w:r w:rsidR="0065063B">
        <w:rPr>
          <w:lang w:eastAsia="en-US"/>
        </w:rPr>
        <w:t>Georgia</w:t>
      </w:r>
      <w:r w:rsidR="00DC716A">
        <w:rPr>
          <w:lang w:eastAsia="en-US"/>
        </w:rPr>
        <w:t>’s continued recognition as</w:t>
      </w:r>
      <w:r w:rsidR="0065063B">
        <w:rPr>
          <w:lang w:eastAsia="en-US"/>
        </w:rPr>
        <w:t xml:space="preserve"> the Number </w:t>
      </w:r>
      <w:r w:rsidR="00026B36">
        <w:rPr>
          <w:lang w:eastAsia="en-US"/>
        </w:rPr>
        <w:t xml:space="preserve">One </w:t>
      </w:r>
      <w:r w:rsidR="0065063B">
        <w:rPr>
          <w:lang w:eastAsia="en-US"/>
        </w:rPr>
        <w:t>state for business.</w:t>
      </w:r>
      <w:r w:rsidR="0065063B">
        <w:rPr>
          <w:rStyle w:val="FootnoteReference"/>
          <w:lang w:eastAsia="en-US"/>
        </w:rPr>
        <w:footnoteReference w:id="7"/>
      </w:r>
      <w:r w:rsidR="0065063B">
        <w:rPr>
          <w:lang w:eastAsia="en-US"/>
        </w:rPr>
        <w:t xml:space="preserve"> </w:t>
      </w:r>
      <w:r w:rsidR="00DA18BC">
        <w:rPr>
          <w:lang w:eastAsia="en-US"/>
        </w:rPr>
        <w:t>GIPL &amp; Southface incorrectly limit the Company’s competition to the state of Georgia with no basis</w:t>
      </w:r>
      <w:r w:rsidR="00DC716A">
        <w:rPr>
          <w:lang w:eastAsia="en-US"/>
        </w:rPr>
        <w:t>.</w:t>
      </w:r>
    </w:p>
    <w:p w14:paraId="0350F276" w14:textId="1E64CE12" w:rsidR="00AA59C4" w:rsidRDefault="006E37D4" w:rsidP="007F6B0E">
      <w:pPr>
        <w:pStyle w:val="BodyText"/>
        <w:spacing w:line="480" w:lineRule="auto"/>
        <w:jc w:val="both"/>
        <w:rPr>
          <w:iCs/>
          <w:lang w:val="x-none" w:eastAsia="en-US"/>
        </w:rPr>
      </w:pPr>
      <w:r>
        <w:rPr>
          <w:lang w:eastAsia="en-US"/>
        </w:rPr>
        <w:t xml:space="preserve">In addition to competing against peer and other out-of-state utilities for </w:t>
      </w:r>
      <w:r w:rsidR="00026B36">
        <w:rPr>
          <w:lang w:eastAsia="en-US"/>
        </w:rPr>
        <w:t xml:space="preserve">retail electric </w:t>
      </w:r>
      <w:r>
        <w:rPr>
          <w:lang w:eastAsia="en-US"/>
        </w:rPr>
        <w:t xml:space="preserve">customers, Georgia Power is also competing against </w:t>
      </w:r>
      <w:r w:rsidR="00D63C21">
        <w:rPr>
          <w:lang w:eastAsia="en-US"/>
        </w:rPr>
        <w:t xml:space="preserve">retail and wholesale electric </w:t>
      </w:r>
      <w:r>
        <w:rPr>
          <w:lang w:eastAsia="en-US"/>
        </w:rPr>
        <w:t xml:space="preserve">utilities </w:t>
      </w:r>
      <w:r w:rsidR="005F6775">
        <w:rPr>
          <w:lang w:eastAsia="en-US"/>
        </w:rPr>
        <w:t xml:space="preserve">in RFPs and </w:t>
      </w:r>
      <w:r>
        <w:rPr>
          <w:lang w:eastAsia="en-US"/>
        </w:rPr>
        <w:t xml:space="preserve">for equipment, materials, and skilled labor. </w:t>
      </w:r>
      <w:r w:rsidR="00B0156B">
        <w:rPr>
          <w:lang w:eastAsia="en-US"/>
        </w:rPr>
        <w:t>Certain trade secret information that GIPL &amp; Southface seek to publicly disclose would result in economic harm</w:t>
      </w:r>
      <w:r w:rsidR="00976C0B">
        <w:rPr>
          <w:lang w:eastAsia="en-US"/>
        </w:rPr>
        <w:t xml:space="preserve"> in the form of higher prices and/or less favorable conditions</w:t>
      </w:r>
      <w:r w:rsidR="00B0156B">
        <w:rPr>
          <w:lang w:eastAsia="en-US"/>
        </w:rPr>
        <w:t xml:space="preserve"> if leveraged by a competing </w:t>
      </w:r>
      <w:r>
        <w:rPr>
          <w:lang w:eastAsia="en-US"/>
        </w:rPr>
        <w:t>entity</w:t>
      </w:r>
      <w:r w:rsidR="00B0156B">
        <w:rPr>
          <w:lang w:eastAsia="en-US"/>
        </w:rPr>
        <w:t xml:space="preserve"> against the Company. </w:t>
      </w:r>
      <w:r w:rsidR="00EE7B60">
        <w:rPr>
          <w:lang w:eastAsia="en-US"/>
        </w:rPr>
        <w:t>I</w:t>
      </w:r>
      <w:r w:rsidR="00AA59C4">
        <w:rPr>
          <w:lang w:eastAsia="en-US"/>
        </w:rPr>
        <w:t xml:space="preserve">n </w:t>
      </w:r>
      <w:r w:rsidR="00AA59C4" w:rsidRPr="00CE6733">
        <w:rPr>
          <w:i/>
          <w:lang w:val="x-none" w:eastAsia="en-US"/>
        </w:rPr>
        <w:t>Vito v. Inman</w:t>
      </w:r>
      <w:r w:rsidR="00AA59C4" w:rsidRPr="00CE6733">
        <w:rPr>
          <w:iCs/>
          <w:lang w:val="x-none" w:eastAsia="en-US"/>
        </w:rPr>
        <w:t>,</w:t>
      </w:r>
      <w:r w:rsidR="00AA59C4" w:rsidRPr="00CE6733">
        <w:rPr>
          <w:rStyle w:val="FootnoteReference"/>
          <w:iCs/>
          <w:lang w:val="x-none" w:eastAsia="en-US"/>
        </w:rPr>
        <w:footnoteReference w:id="8"/>
      </w:r>
      <w:r w:rsidR="00AA59C4" w:rsidRPr="00CE6733">
        <w:rPr>
          <w:iCs/>
          <w:lang w:val="x-none" w:eastAsia="en-US"/>
        </w:rPr>
        <w:t xml:space="preserve"> </w:t>
      </w:r>
      <w:r w:rsidR="00937659">
        <w:rPr>
          <w:iCs/>
          <w:lang w:val="x-none" w:eastAsia="en-US"/>
        </w:rPr>
        <w:t xml:space="preserve">as cited in the Motion, </w:t>
      </w:r>
      <w:r w:rsidR="00EE7B60">
        <w:rPr>
          <w:iCs/>
          <w:lang w:val="x-none" w:eastAsia="en-US"/>
        </w:rPr>
        <w:t>the Georgia Court of Appeals held that the economic harm in question had to be related to the field or industry of the party asserting the privilege.</w:t>
      </w:r>
      <w:r w:rsidR="00EE7B60">
        <w:rPr>
          <w:rStyle w:val="FootnoteReference"/>
          <w:iCs/>
          <w:lang w:val="x-none" w:eastAsia="en-US"/>
        </w:rPr>
        <w:footnoteReference w:id="9"/>
      </w:r>
      <w:r w:rsidR="00EE7B60">
        <w:rPr>
          <w:iCs/>
          <w:lang w:val="x-none" w:eastAsia="en-US"/>
        </w:rPr>
        <w:t xml:space="preserve"> That is precisely the </w:t>
      </w:r>
      <w:r w:rsidR="00214C0D">
        <w:rPr>
          <w:iCs/>
          <w:lang w:val="x-none" w:eastAsia="en-US"/>
        </w:rPr>
        <w:t xml:space="preserve">type of competitor </w:t>
      </w:r>
      <w:r w:rsidR="00C406B5">
        <w:rPr>
          <w:iCs/>
          <w:lang w:val="x-none" w:eastAsia="en-US"/>
        </w:rPr>
        <w:t xml:space="preserve">from which </w:t>
      </w:r>
      <w:r w:rsidR="00EE7B60">
        <w:rPr>
          <w:iCs/>
          <w:lang w:val="x-none" w:eastAsia="en-US"/>
        </w:rPr>
        <w:t xml:space="preserve">the Company seeks to protect </w:t>
      </w:r>
      <w:r w:rsidR="00D267CD">
        <w:rPr>
          <w:iCs/>
          <w:lang w:val="x-none" w:eastAsia="en-US"/>
        </w:rPr>
        <w:t xml:space="preserve">its </w:t>
      </w:r>
      <w:r w:rsidR="00EE7B60">
        <w:rPr>
          <w:iCs/>
          <w:lang w:val="x-none" w:eastAsia="en-US"/>
        </w:rPr>
        <w:t>trade secret information—</w:t>
      </w:r>
      <w:r w:rsidR="00214C0D">
        <w:rPr>
          <w:iCs/>
          <w:lang w:val="x-none" w:eastAsia="en-US"/>
        </w:rPr>
        <w:t>entities eng</w:t>
      </w:r>
      <w:r w:rsidR="000F5B88">
        <w:rPr>
          <w:iCs/>
          <w:lang w:val="x-none" w:eastAsia="en-US"/>
        </w:rPr>
        <w:t>aged</w:t>
      </w:r>
      <w:r w:rsidR="00D63C21">
        <w:rPr>
          <w:iCs/>
          <w:lang w:val="x-none" w:eastAsia="en-US"/>
        </w:rPr>
        <w:t>,</w:t>
      </w:r>
      <w:r w:rsidR="000F5B88">
        <w:rPr>
          <w:iCs/>
          <w:lang w:val="x-none" w:eastAsia="en-US"/>
        </w:rPr>
        <w:t xml:space="preserve"> in </w:t>
      </w:r>
      <w:r w:rsidR="008B5D80">
        <w:rPr>
          <w:iCs/>
          <w:lang w:val="x-none" w:eastAsia="en-US"/>
        </w:rPr>
        <w:t>part o</w:t>
      </w:r>
      <w:r w:rsidR="00443348">
        <w:rPr>
          <w:iCs/>
          <w:lang w:val="x-none" w:eastAsia="en-US"/>
        </w:rPr>
        <w:t>r</w:t>
      </w:r>
      <w:r w:rsidR="008B5D80">
        <w:rPr>
          <w:iCs/>
          <w:lang w:val="x-none" w:eastAsia="en-US"/>
        </w:rPr>
        <w:t xml:space="preserve"> in full</w:t>
      </w:r>
      <w:r w:rsidR="00D63C21">
        <w:rPr>
          <w:iCs/>
          <w:lang w:val="x-none" w:eastAsia="en-US"/>
        </w:rPr>
        <w:t>,</w:t>
      </w:r>
      <w:r w:rsidR="008B5D80">
        <w:rPr>
          <w:iCs/>
          <w:lang w:val="x-none" w:eastAsia="en-US"/>
        </w:rPr>
        <w:t xml:space="preserve"> </w:t>
      </w:r>
      <w:r w:rsidR="00D63C21">
        <w:rPr>
          <w:iCs/>
          <w:lang w:val="x-none" w:eastAsia="en-US"/>
        </w:rPr>
        <w:t xml:space="preserve">in </w:t>
      </w:r>
      <w:r w:rsidR="008B5D80">
        <w:rPr>
          <w:iCs/>
          <w:lang w:val="x-none" w:eastAsia="en-US"/>
        </w:rPr>
        <w:t>t</w:t>
      </w:r>
      <w:r w:rsidR="00EE7B60">
        <w:rPr>
          <w:iCs/>
          <w:lang w:val="x-none" w:eastAsia="en-US"/>
        </w:rPr>
        <w:t xml:space="preserve">he provision of electric service. </w:t>
      </w:r>
      <w:r w:rsidR="00496E3C">
        <w:rPr>
          <w:iCs/>
          <w:lang w:val="x-none" w:eastAsia="en-US"/>
        </w:rPr>
        <w:t>GIPL &amp; Southface</w:t>
      </w:r>
      <w:r w:rsidR="000F5B88">
        <w:rPr>
          <w:iCs/>
          <w:lang w:val="x-none" w:eastAsia="en-US"/>
        </w:rPr>
        <w:t>’s</w:t>
      </w:r>
      <w:r w:rsidR="00496E3C">
        <w:rPr>
          <w:iCs/>
          <w:lang w:val="x-none" w:eastAsia="en-US"/>
        </w:rPr>
        <w:t xml:space="preserve"> contention that the Company has no relevant competitors simply because it is a regulated monopoly </w:t>
      </w:r>
      <w:r w:rsidR="00937659">
        <w:rPr>
          <w:iCs/>
          <w:lang w:val="x-none" w:eastAsia="en-US"/>
        </w:rPr>
        <w:t>does not hold water</w:t>
      </w:r>
      <w:r w:rsidR="00496E3C">
        <w:rPr>
          <w:iCs/>
          <w:lang w:val="x-none" w:eastAsia="en-US"/>
        </w:rPr>
        <w:t>.</w:t>
      </w:r>
    </w:p>
    <w:p w14:paraId="72555DE0" w14:textId="72F49C25" w:rsidR="00B45A34" w:rsidRPr="00385BE9" w:rsidRDefault="00B45A34" w:rsidP="00A35C30">
      <w:pPr>
        <w:pStyle w:val="BodyText"/>
        <w:keepNext/>
        <w:keepLines/>
        <w:widowControl/>
        <w:numPr>
          <w:ilvl w:val="0"/>
          <w:numId w:val="21"/>
        </w:numPr>
        <w:spacing w:before="240"/>
        <w:ind w:left="1080"/>
        <w:jc w:val="both"/>
        <w:rPr>
          <w:u w:val="single"/>
          <w:lang w:eastAsia="en-US"/>
        </w:rPr>
      </w:pPr>
      <w:r w:rsidRPr="00385BE9">
        <w:rPr>
          <w:iCs/>
          <w:u w:val="single"/>
          <w:lang w:val="x-none" w:eastAsia="en-US"/>
        </w:rPr>
        <w:t>The Company takes adequate and reasonable efforts to protect its trade secret information</w:t>
      </w:r>
      <w:r w:rsidR="00D4504C" w:rsidRPr="00385BE9">
        <w:rPr>
          <w:iCs/>
          <w:u w:val="single"/>
          <w:lang w:val="x-none" w:eastAsia="en-US"/>
        </w:rPr>
        <w:t>.</w:t>
      </w:r>
    </w:p>
    <w:p w14:paraId="759FD45A" w14:textId="3C63B3EB" w:rsidR="00D81608" w:rsidRPr="001A3E3E" w:rsidRDefault="00496E3C" w:rsidP="00A35C30">
      <w:pPr>
        <w:pStyle w:val="BodyText"/>
        <w:spacing w:before="240" w:after="0" w:line="480" w:lineRule="auto"/>
        <w:jc w:val="both"/>
        <w:rPr>
          <w:lang w:eastAsia="en-US"/>
        </w:rPr>
      </w:pPr>
      <w:bookmarkStart w:id="0" w:name="_Hlk200961213"/>
      <w:r w:rsidRPr="3A6AD63C">
        <w:rPr>
          <w:lang w:eastAsia="en-US"/>
        </w:rPr>
        <w:t xml:space="preserve">Finally, the Company maintains </w:t>
      </w:r>
      <w:r w:rsidR="00362E4E" w:rsidRPr="3A6AD63C">
        <w:rPr>
          <w:lang w:eastAsia="en-US"/>
        </w:rPr>
        <w:t>reasonable</w:t>
      </w:r>
      <w:r w:rsidRPr="3A6AD63C">
        <w:rPr>
          <w:lang w:eastAsia="en-US"/>
        </w:rPr>
        <w:t xml:space="preserve"> internal protections surrounding its trade secret information. </w:t>
      </w:r>
      <w:r w:rsidR="00362E4E" w:rsidRPr="3A6AD63C">
        <w:rPr>
          <w:lang w:eastAsia="en-US"/>
        </w:rPr>
        <w:t xml:space="preserve">This includes </w:t>
      </w:r>
      <w:r w:rsidR="00D63C21" w:rsidRPr="3A6AD63C">
        <w:rPr>
          <w:lang w:eastAsia="en-US"/>
        </w:rPr>
        <w:t xml:space="preserve">limiting access and </w:t>
      </w:r>
      <w:r w:rsidR="00362E4E" w:rsidRPr="3A6AD63C">
        <w:rPr>
          <w:lang w:eastAsia="en-US"/>
        </w:rPr>
        <w:t>providing such information to employees only on a need</w:t>
      </w:r>
      <w:r w:rsidR="00CD2169" w:rsidRPr="3A6AD63C">
        <w:rPr>
          <w:lang w:eastAsia="en-US"/>
        </w:rPr>
        <w:t>-</w:t>
      </w:r>
      <w:r w:rsidR="00362E4E" w:rsidRPr="3A6AD63C">
        <w:rPr>
          <w:lang w:eastAsia="en-US"/>
        </w:rPr>
        <w:t>to</w:t>
      </w:r>
      <w:r w:rsidR="00CD2169" w:rsidRPr="3A6AD63C">
        <w:rPr>
          <w:lang w:eastAsia="en-US"/>
        </w:rPr>
        <w:t>-</w:t>
      </w:r>
      <w:r w:rsidR="00362E4E" w:rsidRPr="3A6AD63C">
        <w:rPr>
          <w:lang w:eastAsia="en-US"/>
        </w:rPr>
        <w:t xml:space="preserve">know basis. </w:t>
      </w:r>
      <w:r w:rsidR="00AE1A73" w:rsidRPr="3A6AD63C">
        <w:rPr>
          <w:lang w:eastAsia="en-US"/>
        </w:rPr>
        <w:t xml:space="preserve">These internal protections </w:t>
      </w:r>
      <w:r w:rsidR="006D6FA6" w:rsidRPr="3A6AD63C">
        <w:rPr>
          <w:lang w:eastAsia="en-US"/>
        </w:rPr>
        <w:t>involve</w:t>
      </w:r>
      <w:r w:rsidR="00CD2169" w:rsidRPr="3A6AD63C">
        <w:rPr>
          <w:lang w:eastAsia="en-US"/>
        </w:rPr>
        <w:t xml:space="preserve"> internal employee trainings on records management</w:t>
      </w:r>
      <w:r w:rsidR="006D6FA6" w:rsidRPr="3A6AD63C">
        <w:rPr>
          <w:lang w:eastAsia="en-US"/>
        </w:rPr>
        <w:t xml:space="preserve"> and data privacy and protection</w:t>
      </w:r>
      <w:r w:rsidR="00CD2169" w:rsidRPr="3A6AD63C">
        <w:rPr>
          <w:lang w:eastAsia="en-US"/>
        </w:rPr>
        <w:t xml:space="preserve"> as well as IRP-specific training on confidential </w:t>
      </w:r>
      <w:r w:rsidR="00CD2169" w:rsidRPr="3A6AD63C">
        <w:rPr>
          <w:lang w:eastAsia="en-US"/>
        </w:rPr>
        <w:lastRenderedPageBreak/>
        <w:t xml:space="preserve">information </w:t>
      </w:r>
      <w:r w:rsidR="006D6FA6" w:rsidRPr="3A6AD63C">
        <w:rPr>
          <w:lang w:eastAsia="en-US"/>
        </w:rPr>
        <w:t xml:space="preserve">each IRP filing year. </w:t>
      </w:r>
      <w:r w:rsidR="00862771" w:rsidRPr="3A6AD63C">
        <w:rPr>
          <w:lang w:eastAsia="en-US"/>
        </w:rPr>
        <w:t xml:space="preserve">Information stored on Company drives </w:t>
      </w:r>
      <w:r w:rsidR="006D6FA6" w:rsidRPr="3A6AD63C">
        <w:rPr>
          <w:lang w:eastAsia="en-US"/>
        </w:rPr>
        <w:t xml:space="preserve">is </w:t>
      </w:r>
      <w:r w:rsidR="00BB5D10" w:rsidRPr="3A6AD63C">
        <w:rPr>
          <w:lang w:eastAsia="en-US"/>
        </w:rPr>
        <w:t>managed on</w:t>
      </w:r>
      <w:r w:rsidR="00D63C21" w:rsidRPr="3A6AD63C">
        <w:rPr>
          <w:lang w:eastAsia="en-US"/>
        </w:rPr>
        <w:t xml:space="preserve"> a</w:t>
      </w:r>
      <w:r w:rsidR="00BB5D10" w:rsidRPr="3A6AD63C">
        <w:rPr>
          <w:lang w:eastAsia="en-US"/>
        </w:rPr>
        <w:t xml:space="preserve"> departmental </w:t>
      </w:r>
      <w:r w:rsidR="00D63C21" w:rsidRPr="3A6AD63C">
        <w:rPr>
          <w:lang w:eastAsia="en-US"/>
        </w:rPr>
        <w:t xml:space="preserve">basis </w:t>
      </w:r>
      <w:r w:rsidR="00BB5D10" w:rsidRPr="3A6AD63C">
        <w:rPr>
          <w:lang w:eastAsia="en-US"/>
        </w:rPr>
        <w:t xml:space="preserve">to prevent unauthorized access and to track any individuals </w:t>
      </w:r>
      <w:r w:rsidR="00685C05" w:rsidRPr="3A6AD63C">
        <w:rPr>
          <w:lang w:eastAsia="en-US"/>
        </w:rPr>
        <w:t xml:space="preserve">who are </w:t>
      </w:r>
      <w:r w:rsidR="00BB5D10" w:rsidRPr="3A6AD63C">
        <w:rPr>
          <w:lang w:eastAsia="en-US"/>
        </w:rPr>
        <w:t xml:space="preserve">granted </w:t>
      </w:r>
      <w:r w:rsidR="00862771" w:rsidRPr="3A6AD63C">
        <w:rPr>
          <w:lang w:eastAsia="en-US"/>
        </w:rPr>
        <w:t xml:space="preserve">separate </w:t>
      </w:r>
      <w:r w:rsidR="00BB5D10" w:rsidRPr="3A6AD63C">
        <w:rPr>
          <w:lang w:eastAsia="en-US"/>
        </w:rPr>
        <w:t xml:space="preserve">access. The Company also uses both physical and virtual “walls” to keep </w:t>
      </w:r>
      <w:r w:rsidR="00685C05" w:rsidRPr="3A6AD63C">
        <w:rPr>
          <w:lang w:eastAsia="en-US"/>
        </w:rPr>
        <w:t xml:space="preserve">trade secret </w:t>
      </w:r>
      <w:r w:rsidR="00BB5D10" w:rsidRPr="3A6AD63C">
        <w:rPr>
          <w:lang w:eastAsia="en-US"/>
        </w:rPr>
        <w:t>information protected internally. For example, r</w:t>
      </w:r>
      <w:r w:rsidR="006D6FA6" w:rsidRPr="3A6AD63C">
        <w:rPr>
          <w:lang w:eastAsia="en-US"/>
        </w:rPr>
        <w:t xml:space="preserve">esource planning information is physically and virtually separated from Southern Power employees. </w:t>
      </w:r>
      <w:r w:rsidR="003859D2" w:rsidRPr="3A6AD63C">
        <w:rPr>
          <w:lang w:eastAsia="en-US"/>
        </w:rPr>
        <w:t>I</w:t>
      </w:r>
      <w:r w:rsidR="006D6FA6" w:rsidRPr="3A6AD63C">
        <w:rPr>
          <w:lang w:eastAsia="en-US"/>
        </w:rPr>
        <w:t xml:space="preserve">nformation </w:t>
      </w:r>
      <w:r w:rsidR="003859D2" w:rsidRPr="3A6AD63C">
        <w:rPr>
          <w:lang w:eastAsia="en-US"/>
        </w:rPr>
        <w:t>related to Request</w:t>
      </w:r>
      <w:r w:rsidR="00C406B5" w:rsidRPr="3A6AD63C">
        <w:rPr>
          <w:lang w:eastAsia="en-US"/>
        </w:rPr>
        <w:t>s</w:t>
      </w:r>
      <w:r w:rsidR="003859D2" w:rsidRPr="3A6AD63C">
        <w:rPr>
          <w:lang w:eastAsia="en-US"/>
        </w:rPr>
        <w:t xml:space="preserve"> for Proposals (“RFPs”) </w:t>
      </w:r>
      <w:r w:rsidR="006D6FA6" w:rsidRPr="3A6AD63C">
        <w:rPr>
          <w:lang w:eastAsia="en-US"/>
        </w:rPr>
        <w:t>is physically and virtually separately from those on Company-</w:t>
      </w:r>
      <w:r w:rsidR="00976C0B" w:rsidRPr="3A6AD63C">
        <w:rPr>
          <w:lang w:eastAsia="en-US"/>
        </w:rPr>
        <w:t>O</w:t>
      </w:r>
      <w:r w:rsidR="006D6FA6" w:rsidRPr="3A6AD63C">
        <w:rPr>
          <w:lang w:eastAsia="en-US"/>
        </w:rPr>
        <w:t xml:space="preserve">wned Proposal teams. </w:t>
      </w:r>
      <w:r w:rsidR="001A3E3E" w:rsidRPr="3A6AD63C">
        <w:rPr>
          <w:lang w:eastAsia="en-US"/>
        </w:rPr>
        <w:t xml:space="preserve">Georgia Power </w:t>
      </w:r>
      <w:r w:rsidR="00976C0B" w:rsidRPr="3A6AD63C">
        <w:rPr>
          <w:lang w:eastAsia="en-US"/>
        </w:rPr>
        <w:t xml:space="preserve">also </w:t>
      </w:r>
      <w:r w:rsidR="001A3E3E" w:rsidRPr="3A6AD63C">
        <w:rPr>
          <w:lang w:eastAsia="en-US"/>
        </w:rPr>
        <w:t>restricts and monitors access to certain floors and areas where trade secret information is stored by requiring express approval and employee badge swipes</w:t>
      </w:r>
      <w:r w:rsidR="00685C05" w:rsidRPr="3A6AD63C">
        <w:rPr>
          <w:lang w:eastAsia="en-US"/>
        </w:rPr>
        <w:t xml:space="preserve">. </w:t>
      </w:r>
      <w:r w:rsidR="00D81608" w:rsidRPr="3A6AD63C">
        <w:rPr>
          <w:lang w:eastAsia="en-US"/>
        </w:rPr>
        <w:t xml:space="preserve">To access trade secret information identified as Critical Energy Infrastructure </w:t>
      </w:r>
      <w:r w:rsidR="006B3733" w:rsidRPr="3A6AD63C">
        <w:rPr>
          <w:lang w:eastAsia="en-US"/>
        </w:rPr>
        <w:t xml:space="preserve">Information </w:t>
      </w:r>
      <w:r w:rsidR="00D81608" w:rsidRPr="3A6AD63C">
        <w:rPr>
          <w:lang w:eastAsia="en-US"/>
        </w:rPr>
        <w:t>(“CEII”), employees undergo a separate background check and clearance process. CEII information is also</w:t>
      </w:r>
      <w:r w:rsidR="006D6FA6" w:rsidRPr="3A6AD63C">
        <w:rPr>
          <w:lang w:eastAsia="en-US"/>
        </w:rPr>
        <w:t xml:space="preserve"> physically and virtually separated (e.g., elevators to Transmission Planning areas are badge protected).</w:t>
      </w:r>
      <w:r w:rsidR="00D81608" w:rsidRPr="3A6AD63C">
        <w:rPr>
          <w:rStyle w:val="FootnoteReference"/>
          <w:lang w:eastAsia="en-US"/>
        </w:rPr>
        <w:t xml:space="preserve"> </w:t>
      </w:r>
    </w:p>
    <w:p w14:paraId="4F61AF2B" w14:textId="5D3F6016" w:rsidR="00546944" w:rsidRDefault="00685C05" w:rsidP="00A35C30">
      <w:pPr>
        <w:pStyle w:val="BodyText"/>
        <w:spacing w:after="0" w:line="480" w:lineRule="auto"/>
        <w:jc w:val="both"/>
        <w:rPr>
          <w:lang w:eastAsia="en-US"/>
        </w:rPr>
      </w:pPr>
      <w:r w:rsidRPr="3A6AD63C">
        <w:rPr>
          <w:lang w:eastAsia="en-US"/>
        </w:rPr>
        <w:t>W</w:t>
      </w:r>
      <w:r w:rsidR="00AE1A73" w:rsidRPr="3A6AD63C">
        <w:rPr>
          <w:lang w:eastAsia="en-US"/>
        </w:rPr>
        <w:t xml:space="preserve">hen trade secret information is requested and provided to a party </w:t>
      </w:r>
      <w:r w:rsidR="000D377B" w:rsidRPr="3A6AD63C">
        <w:rPr>
          <w:lang w:eastAsia="en-US"/>
        </w:rPr>
        <w:t xml:space="preserve">in a </w:t>
      </w:r>
      <w:r w:rsidR="00D63C21" w:rsidRPr="3A6AD63C">
        <w:rPr>
          <w:lang w:eastAsia="en-US"/>
        </w:rPr>
        <w:t xml:space="preserve">contested </w:t>
      </w:r>
      <w:r w:rsidR="000D377B" w:rsidRPr="3A6AD63C">
        <w:rPr>
          <w:lang w:eastAsia="en-US"/>
        </w:rPr>
        <w:t xml:space="preserve">proceeding </w:t>
      </w:r>
      <w:r w:rsidR="00AE1A73" w:rsidRPr="3A6AD63C">
        <w:rPr>
          <w:lang w:eastAsia="en-US"/>
        </w:rPr>
        <w:t>pursuant to a confidentiality agreement,</w:t>
      </w:r>
      <w:r w:rsidR="00DD35F7" w:rsidRPr="3A6AD63C">
        <w:rPr>
          <w:lang w:eastAsia="en-US"/>
        </w:rPr>
        <w:t xml:space="preserve"> such as the IRP,</w:t>
      </w:r>
      <w:r w:rsidR="00AE1A73" w:rsidRPr="3A6AD63C">
        <w:rPr>
          <w:lang w:eastAsia="en-US"/>
        </w:rPr>
        <w:t xml:space="preserve"> it is hosted and shared via a secure, password-protected ShareFile or FTP site that requires individualized credentials to access.</w:t>
      </w:r>
      <w:r w:rsidR="00103457" w:rsidRPr="3A6AD63C">
        <w:rPr>
          <w:lang w:eastAsia="en-US"/>
        </w:rPr>
        <w:t xml:space="preserve"> The Company clearly identifies trade secret information in its documentation as files are provided to parties </w:t>
      </w:r>
      <w:r w:rsidR="00DD35F7" w:rsidRPr="3A6AD63C">
        <w:rPr>
          <w:lang w:eastAsia="en-US"/>
        </w:rPr>
        <w:t xml:space="preserve">and the Commission </w:t>
      </w:r>
      <w:r w:rsidR="00103457" w:rsidRPr="3A6AD63C">
        <w:rPr>
          <w:lang w:eastAsia="en-US"/>
        </w:rPr>
        <w:t xml:space="preserve">with </w:t>
      </w:r>
      <w:r w:rsidR="00DD35F7" w:rsidRPr="3A6AD63C">
        <w:rPr>
          <w:lang w:eastAsia="en-US"/>
        </w:rPr>
        <w:t>“</w:t>
      </w:r>
      <w:r w:rsidR="00103457" w:rsidRPr="3A6AD63C">
        <w:rPr>
          <w:lang w:eastAsia="en-US"/>
        </w:rPr>
        <w:t>Trade Secret</w:t>
      </w:r>
      <w:r w:rsidR="00DD35F7" w:rsidRPr="3A6AD63C">
        <w:rPr>
          <w:lang w:eastAsia="en-US"/>
        </w:rPr>
        <w:t>”</w:t>
      </w:r>
      <w:r w:rsidR="00103457" w:rsidRPr="3A6AD63C">
        <w:rPr>
          <w:lang w:eastAsia="en-US"/>
        </w:rPr>
        <w:t xml:space="preserve"> or </w:t>
      </w:r>
      <w:r w:rsidR="00DD35F7" w:rsidRPr="3A6AD63C">
        <w:rPr>
          <w:lang w:eastAsia="en-US"/>
        </w:rPr>
        <w:t>“</w:t>
      </w:r>
      <w:r w:rsidR="00103457" w:rsidRPr="3A6AD63C">
        <w:rPr>
          <w:lang w:eastAsia="en-US"/>
        </w:rPr>
        <w:t>Public Disclosure</w:t>
      </w:r>
      <w:r w:rsidR="00DD35F7" w:rsidRPr="3A6AD63C">
        <w:rPr>
          <w:lang w:eastAsia="en-US"/>
        </w:rPr>
        <w:t>”</w:t>
      </w:r>
      <w:r w:rsidR="00103457" w:rsidRPr="3A6AD63C">
        <w:rPr>
          <w:lang w:eastAsia="en-US"/>
        </w:rPr>
        <w:t xml:space="preserve"> in the file name and document headers </w:t>
      </w:r>
      <w:r w:rsidRPr="3A6AD63C">
        <w:rPr>
          <w:lang w:eastAsia="en-US"/>
        </w:rPr>
        <w:t xml:space="preserve">with </w:t>
      </w:r>
      <w:r w:rsidR="00103457" w:rsidRPr="3A6AD63C">
        <w:rPr>
          <w:lang w:eastAsia="en-US"/>
        </w:rPr>
        <w:t xml:space="preserve">trade secret information highlighted in </w:t>
      </w:r>
      <w:r w:rsidR="00103457" w:rsidRPr="3A6AD63C">
        <w:rPr>
          <w:highlight w:val="yellow"/>
          <w:lang w:eastAsia="en-US"/>
        </w:rPr>
        <w:t>yellow</w:t>
      </w:r>
      <w:r w:rsidR="00103457" w:rsidRPr="3A6AD63C">
        <w:rPr>
          <w:lang w:eastAsia="en-US"/>
        </w:rPr>
        <w:t xml:space="preserve">. </w:t>
      </w:r>
    </w:p>
    <w:p w14:paraId="227841C8" w14:textId="1B8D1EAF" w:rsidR="001561A4" w:rsidRPr="001561A4" w:rsidRDefault="00D63C21" w:rsidP="2D7FEEE9">
      <w:pPr>
        <w:pStyle w:val="BodyText"/>
        <w:spacing w:line="480" w:lineRule="auto"/>
        <w:jc w:val="both"/>
        <w:rPr>
          <w:lang w:eastAsia="en-US"/>
        </w:rPr>
      </w:pPr>
      <w:r w:rsidRPr="2D7FEEE9">
        <w:rPr>
          <w:lang w:eastAsia="en-US"/>
        </w:rPr>
        <w:t>The Georgia Code</w:t>
      </w:r>
      <w:r w:rsidR="00546944" w:rsidRPr="2D7FEEE9">
        <w:rPr>
          <w:lang w:eastAsia="en-US"/>
        </w:rPr>
        <w:t xml:space="preserve"> directs that trade secret information be “the subject of efforts that are reasonable under the circumstances to maintain [the trade secret’s] secrecy.”</w:t>
      </w:r>
      <w:r w:rsidR="00546944" w:rsidRPr="2D7FEEE9">
        <w:rPr>
          <w:rStyle w:val="FootnoteReference"/>
          <w:lang w:eastAsia="en-US"/>
        </w:rPr>
        <w:footnoteReference w:id="10"/>
      </w:r>
      <w:r w:rsidR="00546944" w:rsidRPr="2D7FEEE9">
        <w:rPr>
          <w:lang w:eastAsia="en-US"/>
        </w:rPr>
        <w:t xml:space="preserve"> </w:t>
      </w:r>
      <w:r w:rsidR="001561A4" w:rsidRPr="2D7FEEE9">
        <w:rPr>
          <w:lang w:eastAsia="en-US"/>
        </w:rPr>
        <w:t xml:space="preserve">Georgia Power provides significant amounts of data to </w:t>
      </w:r>
      <w:r w:rsidR="00546944" w:rsidRPr="2D7FEEE9">
        <w:rPr>
          <w:lang w:eastAsia="en-US"/>
        </w:rPr>
        <w:t>S</w:t>
      </w:r>
      <w:r w:rsidR="001561A4" w:rsidRPr="2D7FEEE9">
        <w:rPr>
          <w:lang w:eastAsia="en-US"/>
        </w:rPr>
        <w:t xml:space="preserve">taff and intervening parties </w:t>
      </w:r>
      <w:r w:rsidR="00546944" w:rsidRPr="2D7FEEE9">
        <w:rPr>
          <w:lang w:eastAsia="en-US"/>
        </w:rPr>
        <w:t xml:space="preserve">through the IRP </w:t>
      </w:r>
      <w:r w:rsidR="001561A4" w:rsidRPr="2D7FEEE9">
        <w:rPr>
          <w:lang w:eastAsia="en-US"/>
        </w:rPr>
        <w:t>proceeding</w:t>
      </w:r>
      <w:r w:rsidR="00375A76" w:rsidRPr="2D7FEEE9">
        <w:rPr>
          <w:lang w:eastAsia="en-US"/>
        </w:rPr>
        <w:t xml:space="preserve"> and in response to discovery requests pursuant to the reasonable procedures </w:t>
      </w:r>
      <w:r w:rsidR="006B3733" w:rsidRPr="2D7FEEE9">
        <w:rPr>
          <w:lang w:eastAsia="en-US"/>
        </w:rPr>
        <w:t xml:space="preserve">outlined </w:t>
      </w:r>
      <w:r w:rsidR="00375A76" w:rsidRPr="2D7FEEE9">
        <w:rPr>
          <w:lang w:eastAsia="en-US"/>
        </w:rPr>
        <w:t>above.</w:t>
      </w:r>
      <w:r w:rsidR="00976C0B" w:rsidRPr="2D7FEEE9">
        <w:rPr>
          <w:lang w:eastAsia="en-US"/>
        </w:rPr>
        <w:t xml:space="preserve"> It also implements reasonable internal protections to ensure that </w:t>
      </w:r>
      <w:r w:rsidR="003859D2" w:rsidRPr="2D7FEEE9">
        <w:rPr>
          <w:lang w:eastAsia="en-US"/>
        </w:rPr>
        <w:t xml:space="preserve">trade secret information is appropriately </w:t>
      </w:r>
      <w:r w:rsidR="003859D2" w:rsidRPr="2D7FEEE9">
        <w:rPr>
          <w:lang w:eastAsia="en-US"/>
        </w:rPr>
        <w:lastRenderedPageBreak/>
        <w:t>handled and accessed.</w:t>
      </w:r>
      <w:r w:rsidR="00375A76" w:rsidRPr="2D7FEEE9">
        <w:rPr>
          <w:lang w:eastAsia="en-US"/>
        </w:rPr>
        <w:t xml:space="preserve"> The Company has met its burden to demonstrate that the information is subject to reasonable efforts to maintain its secrecy</w:t>
      </w:r>
      <w:r w:rsidR="001561A4" w:rsidRPr="2D7FEEE9">
        <w:rPr>
          <w:lang w:eastAsia="en-US"/>
        </w:rPr>
        <w:t>.</w:t>
      </w:r>
    </w:p>
    <w:bookmarkEnd w:id="0"/>
    <w:p w14:paraId="253E73AF" w14:textId="3DF20492" w:rsidR="00930269" w:rsidRPr="003859D2" w:rsidRDefault="00B2566A" w:rsidP="00D267CD">
      <w:pPr>
        <w:pStyle w:val="BodyText"/>
        <w:numPr>
          <w:ilvl w:val="0"/>
          <w:numId w:val="22"/>
        </w:numPr>
        <w:ind w:left="360"/>
        <w:jc w:val="both"/>
        <w:rPr>
          <w:b/>
          <w:bCs/>
          <w:lang w:eastAsia="en-US"/>
        </w:rPr>
      </w:pPr>
      <w:r>
        <w:rPr>
          <w:b/>
          <w:bCs/>
          <w:lang w:eastAsia="en-US"/>
        </w:rPr>
        <w:t xml:space="preserve">Georgia Power will risk economic harm if it is forced to release the trade secret portions of </w:t>
      </w:r>
      <w:r w:rsidR="00930269" w:rsidRPr="003859D2">
        <w:rPr>
          <w:b/>
          <w:bCs/>
          <w:lang w:eastAsia="en-US"/>
        </w:rPr>
        <w:t>Exhibits</w:t>
      </w:r>
      <w:r w:rsidR="00DF07AE">
        <w:rPr>
          <w:b/>
          <w:bCs/>
          <w:lang w:eastAsia="en-US"/>
        </w:rPr>
        <w:t xml:space="preserve"> 2A - 8A. </w:t>
      </w:r>
    </w:p>
    <w:p w14:paraId="072A4C0E" w14:textId="640844A9" w:rsidR="005E68F1" w:rsidRPr="005E68F1" w:rsidRDefault="005E68F1" w:rsidP="00D267CD">
      <w:pPr>
        <w:pStyle w:val="BodyText"/>
        <w:keepNext/>
        <w:keepLines/>
        <w:widowControl/>
        <w:spacing w:line="480" w:lineRule="auto"/>
        <w:jc w:val="both"/>
        <w:rPr>
          <w:lang w:eastAsia="en-US"/>
        </w:rPr>
      </w:pPr>
      <w:r>
        <w:rPr>
          <w:lang w:eastAsia="en-US"/>
        </w:rPr>
        <w:t>The Company</w:t>
      </w:r>
      <w:r w:rsidR="00496E3C">
        <w:rPr>
          <w:lang w:eastAsia="en-US"/>
        </w:rPr>
        <w:t xml:space="preserve"> now</w:t>
      </w:r>
      <w:r>
        <w:rPr>
          <w:lang w:eastAsia="en-US"/>
        </w:rPr>
        <w:t xml:space="preserve"> responds to </w:t>
      </w:r>
      <w:r w:rsidR="00DF07AE">
        <w:rPr>
          <w:lang w:eastAsia="en-US"/>
        </w:rPr>
        <w:t xml:space="preserve">the specific allegations for </w:t>
      </w:r>
      <w:r w:rsidR="007074CB">
        <w:rPr>
          <w:lang w:eastAsia="en-US"/>
        </w:rPr>
        <w:t>GIPL</w:t>
      </w:r>
      <w:r w:rsidR="00D91A0E">
        <w:rPr>
          <w:lang w:eastAsia="en-US"/>
        </w:rPr>
        <w:t xml:space="preserve"> &amp; Southface</w:t>
      </w:r>
      <w:r w:rsidR="007074CB">
        <w:rPr>
          <w:lang w:eastAsia="en-US"/>
        </w:rPr>
        <w:t>’s</w:t>
      </w:r>
      <w:r>
        <w:rPr>
          <w:lang w:eastAsia="en-US"/>
        </w:rPr>
        <w:t xml:space="preserve"> Exhibits </w:t>
      </w:r>
      <w:r w:rsidR="00DF07AE">
        <w:rPr>
          <w:lang w:eastAsia="en-US"/>
        </w:rPr>
        <w:t xml:space="preserve">2A through 8A </w:t>
      </w:r>
      <w:r>
        <w:rPr>
          <w:lang w:eastAsia="en-US"/>
        </w:rPr>
        <w:t xml:space="preserve">in </w:t>
      </w:r>
      <w:r w:rsidR="007074CB">
        <w:rPr>
          <w:lang w:eastAsia="en-US"/>
        </w:rPr>
        <w:t>turn.</w:t>
      </w:r>
    </w:p>
    <w:p w14:paraId="765891B2" w14:textId="4DEE59DD" w:rsidR="000E20FB" w:rsidRPr="000E20FB" w:rsidRDefault="000E20FB" w:rsidP="00C752F0">
      <w:pPr>
        <w:pStyle w:val="BodyText"/>
        <w:jc w:val="both"/>
        <w:rPr>
          <w:lang w:eastAsia="en-US"/>
        </w:rPr>
      </w:pPr>
      <w:r w:rsidRPr="000E20FB">
        <w:rPr>
          <w:b/>
          <w:bCs/>
          <w:lang w:eastAsia="en-US"/>
        </w:rPr>
        <w:t xml:space="preserve">Exhibit </w:t>
      </w:r>
      <w:r w:rsidR="00930269">
        <w:rPr>
          <w:b/>
          <w:bCs/>
          <w:lang w:eastAsia="en-US"/>
        </w:rPr>
        <w:t>2</w:t>
      </w:r>
      <w:r w:rsidRPr="000E20FB">
        <w:rPr>
          <w:b/>
          <w:bCs/>
          <w:lang w:eastAsia="en-US"/>
        </w:rPr>
        <w:t>A</w:t>
      </w:r>
      <w:r w:rsidRPr="000E20FB">
        <w:rPr>
          <w:lang w:eastAsia="en-US"/>
        </w:rPr>
        <w:t xml:space="preserve">: </w:t>
      </w:r>
      <w:r w:rsidRPr="000E20FB">
        <w:rPr>
          <w:i/>
          <w:iCs/>
          <w:lang w:eastAsia="en-US"/>
        </w:rPr>
        <w:t>Cost Information in the Company’s “2025 IRP Financial Review”</w:t>
      </w:r>
    </w:p>
    <w:p w14:paraId="3D7BD0D2" w14:textId="6908E8E3" w:rsidR="00930269" w:rsidRDefault="000E20FB" w:rsidP="00A13A0F">
      <w:pPr>
        <w:pStyle w:val="BodyText"/>
        <w:spacing w:line="480" w:lineRule="auto"/>
        <w:jc w:val="both"/>
        <w:rPr>
          <w:b/>
          <w:bCs/>
          <w:lang w:eastAsia="en-US"/>
        </w:rPr>
      </w:pPr>
      <w:r w:rsidRPr="000E20FB">
        <w:rPr>
          <w:lang w:eastAsia="en-US"/>
        </w:rPr>
        <w:t xml:space="preserve">The Company </w:t>
      </w:r>
      <w:r w:rsidR="00FE1CB6">
        <w:rPr>
          <w:lang w:eastAsia="en-US"/>
        </w:rPr>
        <w:t>should not be forced to</w:t>
      </w:r>
      <w:r w:rsidRPr="000E20FB">
        <w:rPr>
          <w:lang w:eastAsia="en-US"/>
        </w:rPr>
        <w:t xml:space="preserve"> publicly disclose its </w:t>
      </w:r>
      <w:r w:rsidR="00057CE8">
        <w:rPr>
          <w:lang w:eastAsia="en-US"/>
        </w:rPr>
        <w:t xml:space="preserve">revenue requirement information provided in the 2025 IRP Financial Review. </w:t>
      </w:r>
      <w:r w:rsidR="00DE1A1D">
        <w:rPr>
          <w:lang w:eastAsia="en-US"/>
        </w:rPr>
        <w:t>GIPL &amp; Southface are seeking public disclosure of t</w:t>
      </w:r>
      <w:r w:rsidR="00057CE8">
        <w:rPr>
          <w:lang w:eastAsia="en-US"/>
        </w:rPr>
        <w:t xml:space="preserve">he Company’s forecasted </w:t>
      </w:r>
      <w:r w:rsidR="0002619F">
        <w:rPr>
          <w:lang w:eastAsia="en-US"/>
        </w:rPr>
        <w:t>cost</w:t>
      </w:r>
      <w:r w:rsidR="00057CE8">
        <w:rPr>
          <w:lang w:eastAsia="en-US"/>
        </w:rPr>
        <w:t xml:space="preserve"> information</w:t>
      </w:r>
      <w:r w:rsidR="00DE1A1D">
        <w:rPr>
          <w:lang w:eastAsia="en-US"/>
        </w:rPr>
        <w:t>, in</w:t>
      </w:r>
      <w:r w:rsidR="00F86E5D">
        <w:rPr>
          <w:lang w:eastAsia="en-US"/>
        </w:rPr>
        <w:t xml:space="preserve">cluding the AFUDC, inflation adjustment, and cost of debt, among other things. </w:t>
      </w:r>
      <w:r w:rsidR="00054819">
        <w:rPr>
          <w:lang w:eastAsia="en-US"/>
        </w:rPr>
        <w:t>Th</w:t>
      </w:r>
      <w:r w:rsidR="0002619F">
        <w:rPr>
          <w:lang w:eastAsia="en-US"/>
        </w:rPr>
        <w:t>e trade secret information provided in the 2025 Financial Review</w:t>
      </w:r>
      <w:r w:rsidR="00054819">
        <w:rPr>
          <w:lang w:eastAsia="en-US"/>
        </w:rPr>
        <w:t xml:space="preserve">, combined with other publicly available </w:t>
      </w:r>
      <w:r w:rsidR="003859D2">
        <w:rPr>
          <w:lang w:eastAsia="en-US"/>
        </w:rPr>
        <w:t>information</w:t>
      </w:r>
      <w:r w:rsidR="00054819">
        <w:rPr>
          <w:lang w:eastAsia="en-US"/>
        </w:rPr>
        <w:t xml:space="preserve">, </w:t>
      </w:r>
      <w:r w:rsidR="00007B9F">
        <w:rPr>
          <w:lang w:eastAsia="en-US"/>
        </w:rPr>
        <w:t xml:space="preserve">would </w:t>
      </w:r>
      <w:r w:rsidR="00054819">
        <w:rPr>
          <w:lang w:eastAsia="en-US"/>
        </w:rPr>
        <w:t xml:space="preserve">provide competitors with </w:t>
      </w:r>
      <w:r w:rsidR="0002619F">
        <w:rPr>
          <w:lang w:eastAsia="en-US"/>
        </w:rPr>
        <w:t xml:space="preserve">the total production costs of existing assets as well as fixed and variable costs of the Company’s assumptions. With this information, competitors could manipulate </w:t>
      </w:r>
      <w:r w:rsidR="003859D2">
        <w:rPr>
          <w:lang w:eastAsia="en-US"/>
        </w:rPr>
        <w:t xml:space="preserve">RFP </w:t>
      </w:r>
      <w:r w:rsidR="0002619F">
        <w:rPr>
          <w:lang w:eastAsia="en-US"/>
        </w:rPr>
        <w:t>proposals, seeking a higher price and resulting in increased cost</w:t>
      </w:r>
      <w:r w:rsidR="006B3733">
        <w:rPr>
          <w:lang w:eastAsia="en-US"/>
        </w:rPr>
        <w:t>s</w:t>
      </w:r>
      <w:r w:rsidR="0002619F">
        <w:rPr>
          <w:lang w:eastAsia="en-US"/>
        </w:rPr>
        <w:t xml:space="preserve"> to the Company and customers. </w:t>
      </w:r>
    </w:p>
    <w:p w14:paraId="034A115C" w14:textId="76019C6A" w:rsidR="00930269" w:rsidRPr="000E20FB" w:rsidRDefault="00930269" w:rsidP="006F6858">
      <w:pPr>
        <w:pStyle w:val="BodyText"/>
        <w:ind w:left="720" w:firstLine="0"/>
        <w:jc w:val="both"/>
        <w:rPr>
          <w:lang w:eastAsia="en-US"/>
        </w:rPr>
      </w:pPr>
      <w:r w:rsidRPr="000E20FB">
        <w:rPr>
          <w:b/>
          <w:bCs/>
          <w:lang w:eastAsia="en-US"/>
        </w:rPr>
        <w:t xml:space="preserve">Exhibit </w:t>
      </w:r>
      <w:r>
        <w:rPr>
          <w:b/>
          <w:bCs/>
          <w:lang w:eastAsia="en-US"/>
        </w:rPr>
        <w:t>3A</w:t>
      </w:r>
      <w:r w:rsidRPr="000E20FB">
        <w:rPr>
          <w:lang w:eastAsia="en-US"/>
        </w:rPr>
        <w:t xml:space="preserve">: </w:t>
      </w:r>
      <w:r w:rsidRPr="000E20FB">
        <w:rPr>
          <w:i/>
          <w:iCs/>
          <w:lang w:eastAsia="en-US"/>
        </w:rPr>
        <w:t>Table 7.2.1 Budget 2025 External Peak Adjustments for Large Loads from “Load and Energy Forecast”</w:t>
      </w:r>
    </w:p>
    <w:p w14:paraId="4B88ADCB" w14:textId="6EA89819" w:rsidR="00930269" w:rsidRDefault="00930269" w:rsidP="006F6858">
      <w:pPr>
        <w:pStyle w:val="BodyText"/>
        <w:spacing w:line="480" w:lineRule="auto"/>
        <w:jc w:val="both"/>
        <w:rPr>
          <w:lang w:eastAsia="en-US"/>
        </w:rPr>
      </w:pPr>
      <w:r w:rsidRPr="000E20FB">
        <w:rPr>
          <w:lang w:eastAsia="en-US"/>
        </w:rPr>
        <w:t>Table 7.2.1</w:t>
      </w:r>
      <w:r w:rsidR="000C0F8F">
        <w:rPr>
          <w:lang w:eastAsia="en-US"/>
        </w:rPr>
        <w:t xml:space="preserve"> </w:t>
      </w:r>
      <w:r w:rsidRPr="000E20FB">
        <w:rPr>
          <w:lang w:eastAsia="en-US"/>
        </w:rPr>
        <w:t xml:space="preserve">contains the output of </w:t>
      </w:r>
      <w:r w:rsidR="000C0F8F">
        <w:rPr>
          <w:lang w:eastAsia="en-US"/>
        </w:rPr>
        <w:t>the Company’s</w:t>
      </w:r>
      <w:r w:rsidR="000C0F8F" w:rsidRPr="000E20FB">
        <w:rPr>
          <w:lang w:eastAsia="en-US"/>
        </w:rPr>
        <w:t xml:space="preserve"> </w:t>
      </w:r>
      <w:r w:rsidRPr="000E20FB">
        <w:rPr>
          <w:lang w:eastAsia="en-US"/>
        </w:rPr>
        <w:t>proprietary Load Realization Model</w:t>
      </w:r>
      <w:r w:rsidR="00590801">
        <w:rPr>
          <w:lang w:eastAsia="en-US"/>
        </w:rPr>
        <w:t>, which the Company should not be required to release publicly</w:t>
      </w:r>
      <w:r w:rsidRPr="000E20FB">
        <w:rPr>
          <w:lang w:eastAsia="en-US"/>
        </w:rPr>
        <w:t xml:space="preserve">. </w:t>
      </w:r>
      <w:r w:rsidR="00DE41F2">
        <w:rPr>
          <w:lang w:eastAsia="en-US"/>
        </w:rPr>
        <w:t>If</w:t>
      </w:r>
      <w:r w:rsidR="00DE41F2" w:rsidRPr="000E20FB">
        <w:rPr>
          <w:lang w:eastAsia="en-US"/>
        </w:rPr>
        <w:t xml:space="preserve"> </w:t>
      </w:r>
      <w:r w:rsidRPr="000E20FB">
        <w:rPr>
          <w:lang w:eastAsia="en-US"/>
        </w:rPr>
        <w:t>the details contained in Table 7.2.1</w:t>
      </w:r>
      <w:r w:rsidR="00DE41F2">
        <w:rPr>
          <w:lang w:eastAsia="en-US"/>
        </w:rPr>
        <w:t xml:space="preserve"> were</w:t>
      </w:r>
      <w:r w:rsidRPr="000E20FB">
        <w:rPr>
          <w:lang w:eastAsia="en-US"/>
        </w:rPr>
        <w:t xml:space="preserve"> publicly disclosed, competitors </w:t>
      </w:r>
      <w:r w:rsidR="00C92A8F">
        <w:rPr>
          <w:lang w:eastAsia="en-US"/>
        </w:rPr>
        <w:t>for</w:t>
      </w:r>
      <w:r w:rsidRPr="000E20FB">
        <w:rPr>
          <w:lang w:eastAsia="en-US"/>
        </w:rPr>
        <w:t xml:space="preserve"> customer choice </w:t>
      </w:r>
      <w:r w:rsidR="00C92A8F">
        <w:rPr>
          <w:lang w:eastAsia="en-US"/>
        </w:rPr>
        <w:t xml:space="preserve">projects </w:t>
      </w:r>
      <w:r w:rsidRPr="000E20FB">
        <w:rPr>
          <w:lang w:eastAsia="en-US"/>
        </w:rPr>
        <w:t>would have the Company’s proprietary modeling and forecasting data, including</w:t>
      </w:r>
      <w:r w:rsidR="00566EC1">
        <w:rPr>
          <w:lang w:eastAsia="en-US"/>
        </w:rPr>
        <w:t xml:space="preserve"> its</w:t>
      </w:r>
      <w:r w:rsidR="00DE41F2">
        <w:rPr>
          <w:lang w:eastAsia="en-US"/>
        </w:rPr>
        <w:t xml:space="preserve"> materialization assumptions and project</w:t>
      </w:r>
      <w:r w:rsidR="0048210B">
        <w:rPr>
          <w:lang w:eastAsia="en-US"/>
        </w:rPr>
        <w:t>-</w:t>
      </w:r>
      <w:r w:rsidR="00DE41F2">
        <w:rPr>
          <w:lang w:eastAsia="en-US"/>
        </w:rPr>
        <w:t>specific</w:t>
      </w:r>
      <w:r w:rsidRPr="000E20FB">
        <w:rPr>
          <w:lang w:eastAsia="en-US"/>
        </w:rPr>
        <w:t xml:space="preserve"> risk adjustments. Competitors could</w:t>
      </w:r>
      <w:r w:rsidR="00566EC1">
        <w:rPr>
          <w:lang w:eastAsia="en-US"/>
        </w:rPr>
        <w:t xml:space="preserve"> then</w:t>
      </w:r>
      <w:r w:rsidRPr="000E20FB">
        <w:rPr>
          <w:lang w:eastAsia="en-US"/>
        </w:rPr>
        <w:t xml:space="preserve"> use the Company’s adjustment to better plan for</w:t>
      </w:r>
      <w:r w:rsidR="00DE41F2">
        <w:rPr>
          <w:lang w:eastAsia="en-US"/>
        </w:rPr>
        <w:t xml:space="preserve"> or price</w:t>
      </w:r>
      <w:r w:rsidRPr="000E20FB">
        <w:rPr>
          <w:lang w:eastAsia="en-US"/>
        </w:rPr>
        <w:t xml:space="preserve"> their ability to serve potential customer choice loads, thereby undermining the Company’s </w:t>
      </w:r>
      <w:r w:rsidRPr="000E20FB">
        <w:rPr>
          <w:lang w:eastAsia="en-US"/>
        </w:rPr>
        <w:lastRenderedPageBreak/>
        <w:t xml:space="preserve">market position. Competitors may </w:t>
      </w:r>
      <w:r w:rsidR="00D564AC">
        <w:rPr>
          <w:lang w:eastAsia="en-US"/>
        </w:rPr>
        <w:t xml:space="preserve">use this information to inform whether or </w:t>
      </w:r>
      <w:r w:rsidRPr="000E20FB">
        <w:rPr>
          <w:lang w:eastAsia="en-US"/>
        </w:rPr>
        <w:t xml:space="preserve">not to bid in or compete for certain </w:t>
      </w:r>
      <w:r w:rsidR="0092092A">
        <w:rPr>
          <w:lang w:eastAsia="en-US"/>
        </w:rPr>
        <w:t xml:space="preserve">customer choice projects </w:t>
      </w:r>
      <w:r w:rsidRPr="000E20FB">
        <w:rPr>
          <w:lang w:eastAsia="en-US"/>
        </w:rPr>
        <w:t>based on the information</w:t>
      </w:r>
      <w:r w:rsidR="00566EC1">
        <w:rPr>
          <w:lang w:eastAsia="en-US"/>
        </w:rPr>
        <w:t>, further disrupting the market</w:t>
      </w:r>
      <w:r w:rsidRPr="000E20FB">
        <w:rPr>
          <w:lang w:eastAsia="en-US"/>
        </w:rPr>
        <w:t xml:space="preserve">. </w:t>
      </w:r>
      <w:r w:rsidR="00D564AC">
        <w:rPr>
          <w:lang w:eastAsia="en-US"/>
        </w:rPr>
        <w:t>In addition, p</w:t>
      </w:r>
      <w:r w:rsidRPr="000E20FB">
        <w:rPr>
          <w:lang w:eastAsia="en-US"/>
        </w:rPr>
        <w:t>otential customers could also leverage the information during customer choice negotiations to the detriment of the Company</w:t>
      </w:r>
      <w:r w:rsidR="00143F03">
        <w:rPr>
          <w:lang w:eastAsia="en-US"/>
        </w:rPr>
        <w:t>,</w:t>
      </w:r>
      <w:r w:rsidRPr="000E20FB">
        <w:rPr>
          <w:lang w:eastAsia="en-US"/>
        </w:rPr>
        <w:t xml:space="preserve"> </w:t>
      </w:r>
      <w:r w:rsidR="00143F03">
        <w:rPr>
          <w:lang w:eastAsia="en-US"/>
        </w:rPr>
        <w:t xml:space="preserve">resulting in lower </w:t>
      </w:r>
      <w:r w:rsidR="000C0F8F">
        <w:rPr>
          <w:lang w:eastAsia="en-US"/>
        </w:rPr>
        <w:t xml:space="preserve">or no </w:t>
      </w:r>
      <w:r w:rsidR="00143F03">
        <w:rPr>
          <w:lang w:eastAsia="en-US"/>
        </w:rPr>
        <w:t xml:space="preserve">revenue to the Company, </w:t>
      </w:r>
      <w:r w:rsidR="000C0F8F">
        <w:rPr>
          <w:lang w:eastAsia="en-US"/>
        </w:rPr>
        <w:t xml:space="preserve">which means </w:t>
      </w:r>
      <w:r w:rsidR="00D70070">
        <w:rPr>
          <w:lang w:eastAsia="en-US"/>
        </w:rPr>
        <w:t>reduced</w:t>
      </w:r>
      <w:r w:rsidR="00143F03">
        <w:rPr>
          <w:lang w:eastAsia="en-US"/>
        </w:rPr>
        <w:t xml:space="preserve"> benefit to </w:t>
      </w:r>
      <w:r w:rsidR="000C0F8F">
        <w:rPr>
          <w:lang w:eastAsia="en-US"/>
        </w:rPr>
        <w:t xml:space="preserve">Georgia Power and existing </w:t>
      </w:r>
      <w:r w:rsidR="00143F03">
        <w:rPr>
          <w:lang w:eastAsia="en-US"/>
        </w:rPr>
        <w:t xml:space="preserve">customers from </w:t>
      </w:r>
      <w:r w:rsidR="000C0F8F">
        <w:rPr>
          <w:lang w:eastAsia="en-US"/>
        </w:rPr>
        <w:t xml:space="preserve">winning customer choice </w:t>
      </w:r>
      <w:r w:rsidR="0092092A">
        <w:rPr>
          <w:lang w:eastAsia="en-US"/>
        </w:rPr>
        <w:t>projects</w:t>
      </w:r>
      <w:r w:rsidRPr="000E20FB">
        <w:rPr>
          <w:lang w:eastAsia="en-US"/>
        </w:rPr>
        <w:t>. A</w:t>
      </w:r>
      <w:r w:rsidR="00C92A8F">
        <w:rPr>
          <w:lang w:eastAsia="en-US"/>
        </w:rPr>
        <w:t>ny and a</w:t>
      </w:r>
      <w:r w:rsidRPr="000E20FB">
        <w:rPr>
          <w:lang w:eastAsia="en-US"/>
        </w:rPr>
        <w:t>ll of th</w:t>
      </w:r>
      <w:r w:rsidR="00D564AC">
        <w:rPr>
          <w:lang w:eastAsia="en-US"/>
        </w:rPr>
        <w:t>ese outcomes</w:t>
      </w:r>
      <w:r w:rsidRPr="000E20FB">
        <w:rPr>
          <w:lang w:eastAsia="en-US"/>
        </w:rPr>
        <w:t xml:space="preserve"> would result in economic harm to the Company and ultimately </w:t>
      </w:r>
      <w:r w:rsidR="00C92A8F">
        <w:rPr>
          <w:lang w:eastAsia="en-US"/>
        </w:rPr>
        <w:t xml:space="preserve">to </w:t>
      </w:r>
      <w:r w:rsidR="00D564AC">
        <w:rPr>
          <w:lang w:eastAsia="en-US"/>
        </w:rPr>
        <w:t xml:space="preserve">its </w:t>
      </w:r>
      <w:r w:rsidRPr="000E20FB">
        <w:rPr>
          <w:lang w:eastAsia="en-US"/>
        </w:rPr>
        <w:t xml:space="preserve">customers. </w:t>
      </w:r>
    </w:p>
    <w:p w14:paraId="7275CAA8" w14:textId="77777777" w:rsidR="0061060F" w:rsidRPr="000E20FB" w:rsidRDefault="0061060F" w:rsidP="0061060F">
      <w:pPr>
        <w:pStyle w:val="BodyText"/>
        <w:ind w:left="720" w:firstLine="0"/>
        <w:jc w:val="both"/>
        <w:rPr>
          <w:lang w:eastAsia="en-US"/>
        </w:rPr>
      </w:pPr>
      <w:r w:rsidRPr="000E20FB">
        <w:rPr>
          <w:b/>
          <w:bCs/>
          <w:lang w:eastAsia="en-US"/>
        </w:rPr>
        <w:t xml:space="preserve">Exhibit </w:t>
      </w:r>
      <w:r>
        <w:rPr>
          <w:b/>
          <w:bCs/>
          <w:lang w:eastAsia="en-US"/>
        </w:rPr>
        <w:t>4A</w:t>
      </w:r>
      <w:r w:rsidRPr="000E20FB">
        <w:rPr>
          <w:lang w:eastAsia="en-US"/>
        </w:rPr>
        <w:t xml:space="preserve">: </w:t>
      </w:r>
      <w:r w:rsidRPr="000E20FB">
        <w:rPr>
          <w:i/>
          <w:iCs/>
          <w:lang w:eastAsia="en-US"/>
        </w:rPr>
        <w:t>Attachment 6.0-2: Winter Coincident Demand with Adjustments MW from “Load and Energy Forecast”</w:t>
      </w:r>
    </w:p>
    <w:p w14:paraId="2BEC71DD" w14:textId="356F66D5" w:rsidR="0061060F" w:rsidRPr="000E20FB" w:rsidRDefault="0061060F" w:rsidP="0061060F">
      <w:pPr>
        <w:pStyle w:val="BodyText"/>
        <w:spacing w:line="480" w:lineRule="auto"/>
        <w:jc w:val="both"/>
        <w:rPr>
          <w:lang w:val="x-none" w:eastAsia="en-US"/>
        </w:rPr>
      </w:pPr>
      <w:r w:rsidRPr="000E20FB">
        <w:rPr>
          <w:lang w:eastAsia="en-US"/>
        </w:rPr>
        <w:t xml:space="preserve">The Company </w:t>
      </w:r>
      <w:r w:rsidR="00CF517C">
        <w:rPr>
          <w:lang w:eastAsia="en-US"/>
        </w:rPr>
        <w:t xml:space="preserve">should </w:t>
      </w:r>
      <w:r w:rsidR="0048210B">
        <w:rPr>
          <w:lang w:eastAsia="en-US"/>
        </w:rPr>
        <w:t xml:space="preserve">not </w:t>
      </w:r>
      <w:r w:rsidR="00CF517C">
        <w:rPr>
          <w:lang w:eastAsia="en-US"/>
        </w:rPr>
        <w:t>be forced to</w:t>
      </w:r>
      <w:r w:rsidRPr="000E20FB">
        <w:rPr>
          <w:lang w:eastAsia="en-US"/>
        </w:rPr>
        <w:t xml:space="preserve"> publicly disclose Attachment 6.0-2.</w:t>
      </w:r>
      <w:r w:rsidRPr="000E20FB">
        <w:rPr>
          <w:lang w:val="x-none" w:eastAsia="en-US"/>
        </w:rPr>
        <w:t xml:space="preserve"> The trade secret class level peak values</w:t>
      </w:r>
      <w:r w:rsidR="00C92A8F">
        <w:rPr>
          <w:lang w:val="x-none" w:eastAsia="en-US"/>
        </w:rPr>
        <w:t xml:space="preserve"> provided</w:t>
      </w:r>
      <w:r w:rsidRPr="000E20FB">
        <w:rPr>
          <w:lang w:val="x-none" w:eastAsia="en-US"/>
        </w:rPr>
        <w:t xml:space="preserve"> in </w:t>
      </w:r>
      <w:r w:rsidRPr="000E20FB">
        <w:rPr>
          <w:lang w:eastAsia="en-US"/>
        </w:rPr>
        <w:t>Attachment 6.0-2, once combined</w:t>
      </w:r>
      <w:r w:rsidRPr="000E20FB">
        <w:rPr>
          <w:lang w:val="x-none" w:eastAsia="en-US"/>
        </w:rPr>
        <w:t xml:space="preserve"> with other publicly available information such as total peak by year, announced loads by year, and other class and segment information, c</w:t>
      </w:r>
      <w:r w:rsidR="00C92A8F">
        <w:rPr>
          <w:lang w:val="x-none" w:eastAsia="en-US"/>
        </w:rPr>
        <w:t>an</w:t>
      </w:r>
      <w:r w:rsidRPr="000E20FB">
        <w:rPr>
          <w:lang w:val="x-none" w:eastAsia="en-US"/>
        </w:rPr>
        <w:t xml:space="preserve"> be used to determine the class-level peak demand information by year to approximate Georgia Power’s risk-adjusted load</w:t>
      </w:r>
      <w:r w:rsidR="00F12F79">
        <w:rPr>
          <w:lang w:val="x-none" w:eastAsia="en-US"/>
        </w:rPr>
        <w:t xml:space="preserve"> forecast</w:t>
      </w:r>
      <w:r w:rsidRPr="000E20FB">
        <w:rPr>
          <w:lang w:val="x-none" w:eastAsia="en-US"/>
        </w:rPr>
        <w:t xml:space="preserve"> (including by class)</w:t>
      </w:r>
      <w:r w:rsidR="00D564AC">
        <w:rPr>
          <w:lang w:val="x-none" w:eastAsia="en-US"/>
        </w:rPr>
        <w:t xml:space="preserve">. As explained in response to </w:t>
      </w:r>
      <w:r w:rsidR="00D564AC" w:rsidRPr="00D564AC">
        <w:rPr>
          <w:b/>
          <w:bCs/>
          <w:lang w:val="x-none" w:eastAsia="en-US"/>
        </w:rPr>
        <w:t>Exhibit 3A</w:t>
      </w:r>
      <w:r w:rsidR="0092092A" w:rsidRPr="0092092A">
        <w:rPr>
          <w:lang w:val="x-none" w:eastAsia="en-US"/>
        </w:rPr>
        <w:t xml:space="preserve"> above</w:t>
      </w:r>
      <w:r w:rsidR="00D564AC">
        <w:rPr>
          <w:lang w:val="x-none" w:eastAsia="en-US"/>
        </w:rPr>
        <w:t>, co</w:t>
      </w:r>
      <w:r w:rsidRPr="000E20FB">
        <w:rPr>
          <w:lang w:val="x-none" w:eastAsia="en-US"/>
        </w:rPr>
        <w:t xml:space="preserve">mpetitors could </w:t>
      </w:r>
      <w:r w:rsidR="00B73DF7">
        <w:rPr>
          <w:lang w:val="x-none" w:eastAsia="en-US"/>
        </w:rPr>
        <w:t>leverage</w:t>
      </w:r>
      <w:r w:rsidR="00B73DF7" w:rsidRPr="000E20FB">
        <w:rPr>
          <w:lang w:val="x-none" w:eastAsia="en-US"/>
        </w:rPr>
        <w:t xml:space="preserve"> </w:t>
      </w:r>
      <w:r w:rsidRPr="000E20FB">
        <w:rPr>
          <w:lang w:val="x-none" w:eastAsia="en-US"/>
        </w:rPr>
        <w:t>the class-level information to inform</w:t>
      </w:r>
      <w:r w:rsidR="00B73DF7">
        <w:rPr>
          <w:lang w:val="x-none" w:eastAsia="en-US"/>
        </w:rPr>
        <w:t xml:space="preserve"> and manipulate</w:t>
      </w:r>
      <w:r w:rsidRPr="000E20FB">
        <w:rPr>
          <w:lang w:val="x-none" w:eastAsia="en-US"/>
        </w:rPr>
        <w:t xml:space="preserve"> their offers to potential commercial and industrial customer choice </w:t>
      </w:r>
      <w:r w:rsidR="00D564AC">
        <w:rPr>
          <w:lang w:val="x-none" w:eastAsia="en-US"/>
        </w:rPr>
        <w:t>customers</w:t>
      </w:r>
      <w:r w:rsidRPr="000E20FB">
        <w:rPr>
          <w:lang w:val="x-none" w:eastAsia="en-US"/>
        </w:rPr>
        <w:t>, undermining the Company’s market position and potentially resulting in</w:t>
      </w:r>
      <w:r w:rsidR="00B73DF7">
        <w:rPr>
          <w:lang w:val="x-none" w:eastAsia="en-US"/>
        </w:rPr>
        <w:t xml:space="preserve"> Georgia Power’s</w:t>
      </w:r>
      <w:r w:rsidRPr="000E20FB">
        <w:rPr>
          <w:lang w:val="x-none" w:eastAsia="en-US"/>
        </w:rPr>
        <w:t xml:space="preserve"> loss of customer choice projects</w:t>
      </w:r>
      <w:r w:rsidR="00B73DF7">
        <w:rPr>
          <w:lang w:val="x-none" w:eastAsia="en-US"/>
        </w:rPr>
        <w:t xml:space="preserve"> and the resulting revenues and downward pressure on rates they provide</w:t>
      </w:r>
      <w:r w:rsidRPr="000E20FB">
        <w:rPr>
          <w:lang w:val="x-none" w:eastAsia="en-US"/>
        </w:rPr>
        <w:t>.</w:t>
      </w:r>
    </w:p>
    <w:p w14:paraId="3937AD37" w14:textId="69D66F59" w:rsidR="0061060F" w:rsidRPr="000E20FB" w:rsidRDefault="0061060F" w:rsidP="0061060F">
      <w:pPr>
        <w:pStyle w:val="BodyText"/>
        <w:ind w:left="720" w:firstLine="0"/>
        <w:jc w:val="both"/>
        <w:rPr>
          <w:lang w:eastAsia="en-US"/>
        </w:rPr>
      </w:pPr>
      <w:r w:rsidRPr="000E20FB">
        <w:rPr>
          <w:b/>
          <w:bCs/>
          <w:lang w:eastAsia="en-US"/>
        </w:rPr>
        <w:t xml:space="preserve">Exhibit </w:t>
      </w:r>
      <w:r>
        <w:rPr>
          <w:b/>
          <w:bCs/>
          <w:lang w:eastAsia="en-US"/>
        </w:rPr>
        <w:t>5A</w:t>
      </w:r>
      <w:r w:rsidRPr="000E20FB">
        <w:rPr>
          <w:lang w:eastAsia="en-US"/>
        </w:rPr>
        <w:t xml:space="preserve">: </w:t>
      </w:r>
      <w:r w:rsidRPr="000E20FB">
        <w:rPr>
          <w:i/>
          <w:iCs/>
          <w:lang w:eastAsia="en-US"/>
        </w:rPr>
        <w:t xml:space="preserve">Information requested by GIPL </w:t>
      </w:r>
      <w:r w:rsidR="00D91A0E">
        <w:rPr>
          <w:i/>
          <w:iCs/>
          <w:lang w:eastAsia="en-US"/>
        </w:rPr>
        <w:t>&amp;</w:t>
      </w:r>
      <w:r w:rsidRPr="000E20FB">
        <w:rPr>
          <w:i/>
          <w:iCs/>
          <w:lang w:eastAsia="en-US"/>
        </w:rPr>
        <w:t xml:space="preserve"> Southface in “HR-1-2” (megawatts by fuel type of the resources that are still in the Competitive Tier of the All-Source RFP)</w:t>
      </w:r>
    </w:p>
    <w:p w14:paraId="27FCF2EB" w14:textId="00155A8E" w:rsidR="0061060F" w:rsidRPr="000E20FB" w:rsidRDefault="0061060F" w:rsidP="0061060F">
      <w:pPr>
        <w:pStyle w:val="BodyText"/>
        <w:spacing w:line="480" w:lineRule="auto"/>
        <w:jc w:val="both"/>
        <w:rPr>
          <w:lang w:eastAsia="en-US"/>
        </w:rPr>
      </w:pPr>
      <w:r w:rsidRPr="000E20FB">
        <w:rPr>
          <w:lang w:eastAsia="en-US"/>
        </w:rPr>
        <w:t xml:space="preserve">The Company </w:t>
      </w:r>
      <w:r w:rsidR="006357E4">
        <w:rPr>
          <w:lang w:eastAsia="en-US"/>
        </w:rPr>
        <w:t>cannot</w:t>
      </w:r>
      <w:r w:rsidRPr="000E20FB">
        <w:rPr>
          <w:lang w:eastAsia="en-US"/>
        </w:rPr>
        <w:t xml:space="preserve"> publicly disclose the fuel type and megawatts (“MW”) provided in HR-1-2 for the competitive tier of the Company’s ongoing All</w:t>
      </w:r>
      <w:r w:rsidR="00B73DF7">
        <w:rPr>
          <w:lang w:eastAsia="en-US"/>
        </w:rPr>
        <w:t>-</w:t>
      </w:r>
      <w:r w:rsidRPr="000E20FB">
        <w:rPr>
          <w:lang w:eastAsia="en-US"/>
        </w:rPr>
        <w:t>Source RFP. This response provides specific details regarding the All</w:t>
      </w:r>
      <w:r w:rsidR="00B73DF7">
        <w:rPr>
          <w:lang w:eastAsia="en-US"/>
        </w:rPr>
        <w:t>-</w:t>
      </w:r>
      <w:r w:rsidRPr="000E20FB">
        <w:rPr>
          <w:lang w:eastAsia="en-US"/>
        </w:rPr>
        <w:t xml:space="preserve">Source RFP that, if publicly disclosed, would compromise the Company’s ability to </w:t>
      </w:r>
      <w:r w:rsidR="00B73DF7">
        <w:rPr>
          <w:lang w:eastAsia="en-US"/>
        </w:rPr>
        <w:t>secure</w:t>
      </w:r>
      <w:r w:rsidR="00B73DF7" w:rsidRPr="000E20FB">
        <w:rPr>
          <w:lang w:eastAsia="en-US"/>
        </w:rPr>
        <w:t xml:space="preserve"> </w:t>
      </w:r>
      <w:r w:rsidRPr="000E20FB">
        <w:rPr>
          <w:lang w:eastAsia="en-US"/>
        </w:rPr>
        <w:t>the best cost resources in connection with these or future proposals</w:t>
      </w:r>
      <w:r w:rsidR="00B73DF7">
        <w:rPr>
          <w:lang w:eastAsia="en-US"/>
        </w:rPr>
        <w:t xml:space="preserve"> and would provide non-public information to participants in the RFP as well</w:t>
      </w:r>
      <w:r w:rsidRPr="000E20FB">
        <w:rPr>
          <w:lang w:eastAsia="en-US"/>
        </w:rPr>
        <w:t>. Public disclosure of these details may also lead to an artificial pricing floor in future RFP proposals, which would result in higher prices for both the Company and customers</w:t>
      </w:r>
      <w:r w:rsidR="0077502C">
        <w:rPr>
          <w:lang w:eastAsia="en-US"/>
        </w:rPr>
        <w:t xml:space="preserve"> and would compromise the Company’s ability to </w:t>
      </w:r>
      <w:r w:rsidR="00B73DF7">
        <w:rPr>
          <w:lang w:eastAsia="en-US"/>
        </w:rPr>
        <w:t xml:space="preserve">procure </w:t>
      </w:r>
      <w:r w:rsidR="0077502C">
        <w:rPr>
          <w:lang w:eastAsia="en-US"/>
        </w:rPr>
        <w:t>the best cost resources in connection with these or future resources</w:t>
      </w:r>
      <w:r w:rsidRPr="000E20FB">
        <w:rPr>
          <w:lang w:eastAsia="en-US"/>
        </w:rPr>
        <w:t xml:space="preserve">. </w:t>
      </w:r>
      <w:r w:rsidR="009C31FC">
        <w:rPr>
          <w:lang w:eastAsia="en-US"/>
        </w:rPr>
        <w:t xml:space="preserve">Additionally, </w:t>
      </w:r>
      <w:r w:rsidR="00B73DF7">
        <w:rPr>
          <w:lang w:eastAsia="en-US"/>
        </w:rPr>
        <w:t xml:space="preserve">the </w:t>
      </w:r>
      <w:r w:rsidRPr="000E20FB">
        <w:rPr>
          <w:lang w:eastAsia="en-US"/>
        </w:rPr>
        <w:t>Commission</w:t>
      </w:r>
      <w:r w:rsidR="00B73DF7">
        <w:rPr>
          <w:lang w:eastAsia="en-US"/>
        </w:rPr>
        <w:t>’s RFP</w:t>
      </w:r>
      <w:r w:rsidRPr="000E20FB">
        <w:rPr>
          <w:lang w:eastAsia="en-US"/>
        </w:rPr>
        <w:t xml:space="preserve"> rules restrict communications between the Company, bidders, and potential bidders during the RFP process.</w:t>
      </w:r>
      <w:r w:rsidR="009C31FC">
        <w:rPr>
          <w:rStyle w:val="FootnoteReference"/>
          <w:lang w:eastAsia="en-US"/>
        </w:rPr>
        <w:footnoteReference w:id="11"/>
      </w:r>
      <w:r w:rsidRPr="000E20FB">
        <w:rPr>
          <w:lang w:eastAsia="en-US"/>
        </w:rPr>
        <w:t xml:space="preserve"> As the All-Source RFP </w:t>
      </w:r>
      <w:r w:rsidR="0077502C">
        <w:rPr>
          <w:lang w:eastAsia="en-US"/>
        </w:rPr>
        <w:t>has not yet concluded</w:t>
      </w:r>
      <w:r w:rsidRPr="000E20FB">
        <w:rPr>
          <w:lang w:eastAsia="en-US"/>
        </w:rPr>
        <w:t>, it is the Company’s position that revealing the trade secret information in HR-1-2 would run afoul of these restrictions</w:t>
      </w:r>
      <w:r w:rsidR="0077502C">
        <w:rPr>
          <w:lang w:eastAsia="en-US"/>
        </w:rPr>
        <w:t xml:space="preserve"> and subject the Company to economic harm.</w:t>
      </w:r>
      <w:r w:rsidR="006E7478">
        <w:rPr>
          <w:lang w:eastAsia="en-US"/>
        </w:rPr>
        <w:t xml:space="preserve"> </w:t>
      </w:r>
      <w:r w:rsidR="00B73DF7">
        <w:rPr>
          <w:lang w:eastAsia="en-US"/>
        </w:rPr>
        <w:t xml:space="preserve">The Company does not support </w:t>
      </w:r>
      <w:r w:rsidR="00A81262">
        <w:rPr>
          <w:lang w:eastAsia="en-US"/>
        </w:rPr>
        <w:t xml:space="preserve">providing </w:t>
      </w:r>
      <w:r w:rsidR="00B73DF7">
        <w:rPr>
          <w:lang w:eastAsia="en-US"/>
        </w:rPr>
        <w:t xml:space="preserve">stakeholders or interested parties, especially those representing participants in Georgia Power’s RFPs, </w:t>
      </w:r>
      <w:r w:rsidR="00A81262">
        <w:rPr>
          <w:lang w:eastAsia="en-US"/>
        </w:rPr>
        <w:t xml:space="preserve">with </w:t>
      </w:r>
      <w:r w:rsidR="00B73DF7">
        <w:rPr>
          <w:lang w:eastAsia="en-US"/>
        </w:rPr>
        <w:t xml:space="preserve">access </w:t>
      </w:r>
      <w:r w:rsidR="00A81262">
        <w:rPr>
          <w:lang w:eastAsia="en-US"/>
        </w:rPr>
        <w:t xml:space="preserve">to </w:t>
      </w:r>
      <w:r w:rsidR="00B73DF7">
        <w:rPr>
          <w:lang w:eastAsia="en-US"/>
        </w:rPr>
        <w:t>active RFP bid information in a contested proceeding that would</w:t>
      </w:r>
      <w:r w:rsidR="006E7478">
        <w:rPr>
          <w:lang w:eastAsia="en-US"/>
        </w:rPr>
        <w:t xml:space="preserve"> </w:t>
      </w:r>
      <w:r w:rsidR="00B73DF7">
        <w:rPr>
          <w:lang w:eastAsia="en-US"/>
        </w:rPr>
        <w:t xml:space="preserve">otherwise be prohibited from being shared with the RFP participants themselves. </w:t>
      </w:r>
    </w:p>
    <w:p w14:paraId="2DFFF657" w14:textId="67C6F88B" w:rsidR="0061060F" w:rsidRPr="000E20FB" w:rsidRDefault="0061060F" w:rsidP="00EB5576">
      <w:pPr>
        <w:pStyle w:val="BodyText"/>
        <w:keepNext/>
        <w:keepLines/>
        <w:widowControl/>
        <w:ind w:left="720" w:firstLine="0"/>
        <w:jc w:val="both"/>
        <w:rPr>
          <w:lang w:eastAsia="en-US"/>
        </w:rPr>
      </w:pPr>
      <w:r w:rsidRPr="000E20FB">
        <w:rPr>
          <w:b/>
          <w:bCs/>
          <w:lang w:eastAsia="en-US"/>
        </w:rPr>
        <w:t xml:space="preserve">Exhibit </w:t>
      </w:r>
      <w:r w:rsidR="0073502F">
        <w:rPr>
          <w:b/>
          <w:bCs/>
          <w:lang w:eastAsia="en-US"/>
        </w:rPr>
        <w:t>6A</w:t>
      </w:r>
      <w:r w:rsidRPr="000E20FB">
        <w:rPr>
          <w:lang w:eastAsia="en-US"/>
        </w:rPr>
        <w:t xml:space="preserve">: </w:t>
      </w:r>
      <w:r w:rsidRPr="000E20FB">
        <w:rPr>
          <w:i/>
          <w:iCs/>
          <w:lang w:eastAsia="en-US"/>
        </w:rPr>
        <w:t>All information in “Table 5: B2025 Technology Cost and Performance Summary” from Georgia Power’s 2025 IRP Resource Mix Study</w:t>
      </w:r>
    </w:p>
    <w:p w14:paraId="4F9A40B2" w14:textId="2D646139" w:rsidR="0061060F" w:rsidRPr="000E20FB" w:rsidRDefault="0061060F" w:rsidP="00A13A0F">
      <w:pPr>
        <w:pStyle w:val="BodyText"/>
        <w:spacing w:line="480" w:lineRule="auto"/>
        <w:jc w:val="both"/>
        <w:rPr>
          <w:b/>
          <w:bCs/>
          <w:lang w:eastAsia="en-US"/>
        </w:rPr>
      </w:pPr>
      <w:r w:rsidRPr="000E20FB">
        <w:rPr>
          <w:lang w:eastAsia="en-US"/>
        </w:rPr>
        <w:t xml:space="preserve">The Company will remove the </w:t>
      </w:r>
      <w:r w:rsidR="0032149B">
        <w:rPr>
          <w:lang w:eastAsia="en-US"/>
        </w:rPr>
        <w:t>t</w:t>
      </w:r>
      <w:r w:rsidRPr="000E20FB">
        <w:rPr>
          <w:lang w:eastAsia="en-US"/>
        </w:rPr>
        <w:t xml:space="preserve">rade </w:t>
      </w:r>
      <w:r w:rsidR="0032149B">
        <w:rPr>
          <w:lang w:eastAsia="en-US"/>
        </w:rPr>
        <w:t>s</w:t>
      </w:r>
      <w:r w:rsidRPr="000E20FB">
        <w:rPr>
          <w:lang w:eastAsia="en-US"/>
        </w:rPr>
        <w:t>ecret designation from the column providing “winter capacity rating</w:t>
      </w:r>
      <w:r w:rsidR="008A6FE4">
        <w:rPr>
          <w:lang w:eastAsia="en-US"/>
        </w:rPr>
        <w:t>;</w:t>
      </w:r>
      <w:r w:rsidRPr="000E20FB">
        <w:rPr>
          <w:lang w:eastAsia="en-US"/>
        </w:rPr>
        <w:t xml:space="preserve">” however, the Company </w:t>
      </w:r>
      <w:r w:rsidR="000C0F8F">
        <w:rPr>
          <w:lang w:eastAsia="en-US"/>
        </w:rPr>
        <w:t xml:space="preserve">should not be required </w:t>
      </w:r>
      <w:r w:rsidR="00AE5457">
        <w:rPr>
          <w:lang w:eastAsia="en-US"/>
        </w:rPr>
        <w:t>to</w:t>
      </w:r>
      <w:r w:rsidRPr="000E20FB">
        <w:rPr>
          <w:lang w:eastAsia="en-US"/>
        </w:rPr>
        <w:t xml:space="preserve"> publicly disclose the entirety of Table 5 as requested. The trade secret data included in the remainder of Table 5 contains the Company’s projected costs and performance of new entrants to the electricity supply market. </w:t>
      </w:r>
      <w:r w:rsidR="008A6FE4">
        <w:rPr>
          <w:lang w:eastAsia="en-US"/>
        </w:rPr>
        <w:t>If</w:t>
      </w:r>
      <w:r w:rsidR="008A6FE4" w:rsidRPr="000E20FB">
        <w:rPr>
          <w:lang w:eastAsia="en-US"/>
        </w:rPr>
        <w:t xml:space="preserve"> </w:t>
      </w:r>
      <w:r w:rsidRPr="000E20FB">
        <w:rPr>
          <w:lang w:eastAsia="en-US"/>
        </w:rPr>
        <w:t xml:space="preserve">this data </w:t>
      </w:r>
      <w:r w:rsidR="008A6FE4">
        <w:rPr>
          <w:lang w:eastAsia="en-US"/>
        </w:rPr>
        <w:t>were</w:t>
      </w:r>
      <w:r w:rsidRPr="000E20FB">
        <w:rPr>
          <w:lang w:eastAsia="en-US"/>
        </w:rPr>
        <w:t xml:space="preserve"> publicly disclosed, </w:t>
      </w:r>
      <w:r w:rsidR="00385BE9">
        <w:rPr>
          <w:lang w:eastAsia="en-US"/>
        </w:rPr>
        <w:t xml:space="preserve">RFP </w:t>
      </w:r>
      <w:r w:rsidRPr="000E20FB">
        <w:rPr>
          <w:lang w:eastAsia="en-US"/>
        </w:rPr>
        <w:t>participants could tailor their proposals</w:t>
      </w:r>
      <w:r w:rsidR="008A6FE4">
        <w:rPr>
          <w:lang w:eastAsia="en-US"/>
        </w:rPr>
        <w:t xml:space="preserve"> according to the assumptions assumed by the Company to</w:t>
      </w:r>
      <w:r w:rsidRPr="000E20FB">
        <w:rPr>
          <w:lang w:eastAsia="en-US"/>
        </w:rPr>
        <w:t xml:space="preserve"> set an artificial floor on bidding. </w:t>
      </w:r>
      <w:r w:rsidR="00EA6B46">
        <w:rPr>
          <w:lang w:eastAsia="en-US"/>
        </w:rPr>
        <w:t>This</w:t>
      </w:r>
      <w:r w:rsidR="00941611">
        <w:rPr>
          <w:lang w:eastAsia="en-US"/>
        </w:rPr>
        <w:t xml:space="preserve"> public cost data could </w:t>
      </w:r>
      <w:r w:rsidR="00EA6B46">
        <w:rPr>
          <w:lang w:eastAsia="en-US"/>
        </w:rPr>
        <w:t xml:space="preserve">also </w:t>
      </w:r>
      <w:r w:rsidR="00941611">
        <w:rPr>
          <w:lang w:eastAsia="en-US"/>
        </w:rPr>
        <w:t xml:space="preserve">be used by original equipment manufacturers and other contractors to </w:t>
      </w:r>
      <w:r w:rsidR="0078248B">
        <w:rPr>
          <w:lang w:eastAsia="en-US"/>
        </w:rPr>
        <w:t xml:space="preserve">disrupt the contracting process and </w:t>
      </w:r>
      <w:r w:rsidR="00AC5FC5">
        <w:rPr>
          <w:lang w:eastAsia="en-US"/>
        </w:rPr>
        <w:t>increase</w:t>
      </w:r>
      <w:r w:rsidR="00941611">
        <w:rPr>
          <w:lang w:eastAsia="en-US"/>
        </w:rPr>
        <w:t xml:space="preserve"> prices </w:t>
      </w:r>
      <w:r w:rsidR="00F80816">
        <w:rPr>
          <w:lang w:eastAsia="en-US"/>
        </w:rPr>
        <w:t>for</w:t>
      </w:r>
      <w:r w:rsidR="00941611">
        <w:rPr>
          <w:lang w:eastAsia="en-US"/>
        </w:rPr>
        <w:t xml:space="preserve"> </w:t>
      </w:r>
      <w:r w:rsidR="00AC5FC5">
        <w:rPr>
          <w:lang w:eastAsia="en-US"/>
        </w:rPr>
        <w:t>any Company-owned proposals included in an RFP</w:t>
      </w:r>
      <w:r w:rsidR="00941611">
        <w:rPr>
          <w:lang w:eastAsia="en-US"/>
        </w:rPr>
        <w:t xml:space="preserve">. </w:t>
      </w:r>
      <w:r w:rsidRPr="000E20FB">
        <w:rPr>
          <w:lang w:eastAsia="en-US"/>
        </w:rPr>
        <w:t xml:space="preserve">This could result in the Company </w:t>
      </w:r>
      <w:r w:rsidR="00AE5457">
        <w:rPr>
          <w:lang w:eastAsia="en-US"/>
        </w:rPr>
        <w:t>paying</w:t>
      </w:r>
      <w:r w:rsidRPr="000E20FB">
        <w:rPr>
          <w:lang w:eastAsia="en-US"/>
        </w:rPr>
        <w:t xml:space="preserve"> a price higher than it would have otherwise paid </w:t>
      </w:r>
      <w:r w:rsidR="008A6FE4">
        <w:rPr>
          <w:lang w:eastAsia="en-US"/>
        </w:rPr>
        <w:t>if such information had not been revealed</w:t>
      </w:r>
      <w:r w:rsidRPr="000E20FB">
        <w:rPr>
          <w:lang w:eastAsia="en-US"/>
        </w:rPr>
        <w:t>. This would also harm customers by not allowing the Company to conduct a proper solicitation and obtain the overall best mix of supply-side resources.</w:t>
      </w:r>
      <w:r w:rsidR="008A6FE4">
        <w:rPr>
          <w:lang w:eastAsia="en-US"/>
        </w:rPr>
        <w:t xml:space="preserve"> Artificially skewing the price of one resource technology could unnecessarily influence the type and amount of a given resource technology ultimately procured based on incorrect price assumptions.</w:t>
      </w:r>
      <w:r w:rsidRPr="000E20FB">
        <w:rPr>
          <w:lang w:eastAsia="en-US"/>
        </w:rPr>
        <w:t xml:space="preserve"> </w:t>
      </w:r>
      <w:r w:rsidR="00A81262">
        <w:rPr>
          <w:lang w:eastAsia="en-US"/>
        </w:rPr>
        <w:t>R</w:t>
      </w:r>
      <w:r w:rsidR="005C663D">
        <w:rPr>
          <w:lang w:eastAsia="en-US"/>
        </w:rPr>
        <w:t xml:space="preserve">ecently, </w:t>
      </w:r>
      <w:r w:rsidR="00DE128B">
        <w:rPr>
          <w:lang w:eastAsia="en-US"/>
        </w:rPr>
        <w:t xml:space="preserve">the Company provided bidders an opportunity to complete a “bid refresh” in RFPs due to market volatility and other considerations. </w:t>
      </w:r>
      <w:r w:rsidR="008A6FE4">
        <w:rPr>
          <w:lang w:eastAsia="en-US"/>
        </w:rPr>
        <w:t xml:space="preserve">If </w:t>
      </w:r>
      <w:r w:rsidR="00DE128B">
        <w:rPr>
          <w:lang w:eastAsia="en-US"/>
        </w:rPr>
        <w:t xml:space="preserve">RFP participants have access to the trade secret information provided in Exhibit 6A, they could </w:t>
      </w:r>
      <w:r w:rsidR="005C663D">
        <w:rPr>
          <w:lang w:eastAsia="en-US"/>
        </w:rPr>
        <w:t>modify</w:t>
      </w:r>
      <w:r w:rsidR="00DE128B">
        <w:rPr>
          <w:lang w:eastAsia="en-US"/>
        </w:rPr>
        <w:t xml:space="preserve"> RFP submissions </w:t>
      </w:r>
      <w:r w:rsidR="005C663D">
        <w:rPr>
          <w:lang w:eastAsia="en-US"/>
        </w:rPr>
        <w:t>during an active and ongoing RFP</w:t>
      </w:r>
      <w:r w:rsidR="00DE128B">
        <w:rPr>
          <w:lang w:eastAsia="en-US"/>
        </w:rPr>
        <w:t xml:space="preserve">. </w:t>
      </w:r>
      <w:r w:rsidR="005C663D">
        <w:rPr>
          <w:lang w:eastAsia="en-US"/>
        </w:rPr>
        <w:t xml:space="preserve">This would certainly disrupt the fairness of the RFP process and </w:t>
      </w:r>
      <w:r w:rsidR="00D91A0E">
        <w:rPr>
          <w:lang w:eastAsia="en-US"/>
        </w:rPr>
        <w:t xml:space="preserve">could also </w:t>
      </w:r>
      <w:r w:rsidR="005C663D">
        <w:rPr>
          <w:lang w:eastAsia="en-US"/>
        </w:rPr>
        <w:t>result in</w:t>
      </w:r>
      <w:r w:rsidR="00D91A0E">
        <w:rPr>
          <w:lang w:eastAsia="en-US"/>
        </w:rPr>
        <w:t xml:space="preserve"> </w:t>
      </w:r>
      <w:r w:rsidR="005C663D">
        <w:rPr>
          <w:lang w:eastAsia="en-US"/>
        </w:rPr>
        <w:t>economic harm to the Company</w:t>
      </w:r>
      <w:r w:rsidR="00D91A0E">
        <w:rPr>
          <w:lang w:eastAsia="en-US"/>
        </w:rPr>
        <w:t xml:space="preserve"> in the form of increased proposals</w:t>
      </w:r>
      <w:r w:rsidR="005C663D">
        <w:rPr>
          <w:lang w:eastAsia="en-US"/>
        </w:rPr>
        <w:t xml:space="preserve">. </w:t>
      </w:r>
    </w:p>
    <w:p w14:paraId="5996CCBE" w14:textId="246A1E93" w:rsidR="000E20FB" w:rsidRPr="000E20FB" w:rsidRDefault="000E20FB" w:rsidP="00F80816">
      <w:pPr>
        <w:pStyle w:val="BodyText"/>
        <w:ind w:left="720" w:firstLine="0"/>
        <w:jc w:val="both"/>
        <w:rPr>
          <w:lang w:eastAsia="en-US"/>
        </w:rPr>
      </w:pPr>
      <w:r w:rsidRPr="00EB5576">
        <w:rPr>
          <w:b/>
          <w:bCs/>
          <w:lang w:eastAsia="en-US"/>
        </w:rPr>
        <w:t xml:space="preserve">Exhibit </w:t>
      </w:r>
      <w:r w:rsidR="00930269" w:rsidRPr="00EB5576">
        <w:rPr>
          <w:b/>
          <w:bCs/>
          <w:lang w:eastAsia="en-US"/>
        </w:rPr>
        <w:t>7A</w:t>
      </w:r>
      <w:r w:rsidRPr="00EB5576">
        <w:rPr>
          <w:lang w:eastAsia="en-US"/>
        </w:rPr>
        <w:t xml:space="preserve">: </w:t>
      </w:r>
      <w:r w:rsidRPr="00EB5576">
        <w:rPr>
          <w:i/>
          <w:iCs/>
          <w:lang w:eastAsia="en-US"/>
        </w:rPr>
        <w:t>All</w:t>
      </w:r>
      <w:r w:rsidRPr="000E20FB">
        <w:rPr>
          <w:i/>
          <w:iCs/>
          <w:lang w:eastAsia="en-US"/>
        </w:rPr>
        <w:t xml:space="preserve"> information except the second column from the left in Georgia Power’s “2025 IRP Volume 3 – Outages C2”</w:t>
      </w:r>
    </w:p>
    <w:p w14:paraId="27BA9B2E" w14:textId="3F032E76" w:rsidR="004A0804" w:rsidRDefault="000E20FB" w:rsidP="00F80816">
      <w:pPr>
        <w:pStyle w:val="BodyText"/>
        <w:spacing w:line="480" w:lineRule="auto"/>
        <w:jc w:val="both"/>
        <w:rPr>
          <w:lang w:eastAsia="en-US"/>
        </w:rPr>
      </w:pPr>
      <w:r w:rsidRPr="000E20FB">
        <w:rPr>
          <w:lang w:eastAsia="en-US"/>
        </w:rPr>
        <w:t xml:space="preserve">The Company has re-filed a modified C2, removing the trade secret designation from columns titled “Date, “Cause,” and “MVA Mins.” The </w:t>
      </w:r>
      <w:r w:rsidR="00AD03ED">
        <w:rPr>
          <w:lang w:eastAsia="en-US"/>
        </w:rPr>
        <w:t>“</w:t>
      </w:r>
      <w:r w:rsidR="003D0285">
        <w:rPr>
          <w:lang w:eastAsia="en-US"/>
        </w:rPr>
        <w:t>K</w:t>
      </w:r>
      <w:r w:rsidR="005446A5">
        <w:rPr>
          <w:lang w:eastAsia="en-US"/>
        </w:rPr>
        <w:t>V</w:t>
      </w:r>
      <w:r w:rsidR="00AD03ED">
        <w:rPr>
          <w:lang w:eastAsia="en-US"/>
        </w:rPr>
        <w:t>”</w:t>
      </w:r>
      <w:r w:rsidR="005446A5">
        <w:rPr>
          <w:lang w:eastAsia="en-US"/>
        </w:rPr>
        <w:t xml:space="preserve"> and</w:t>
      </w:r>
      <w:r w:rsidRPr="000E20FB">
        <w:rPr>
          <w:lang w:eastAsia="en-US"/>
        </w:rPr>
        <w:t xml:space="preserve"> </w:t>
      </w:r>
      <w:r w:rsidR="00AD03ED">
        <w:rPr>
          <w:lang w:eastAsia="en-US"/>
        </w:rPr>
        <w:t>“</w:t>
      </w:r>
      <w:r w:rsidRPr="000E20FB">
        <w:rPr>
          <w:lang w:eastAsia="en-US"/>
        </w:rPr>
        <w:t>Comments</w:t>
      </w:r>
      <w:r w:rsidR="00AD03ED">
        <w:rPr>
          <w:lang w:eastAsia="en-US"/>
        </w:rPr>
        <w:t>”</w:t>
      </w:r>
      <w:r w:rsidR="005446A5">
        <w:rPr>
          <w:lang w:eastAsia="en-US"/>
        </w:rPr>
        <w:t xml:space="preserve"> categories</w:t>
      </w:r>
      <w:r w:rsidR="000C0F8F">
        <w:rPr>
          <w:lang w:eastAsia="en-US"/>
        </w:rPr>
        <w:t xml:space="preserve"> are trade secret</w:t>
      </w:r>
      <w:r w:rsidR="008A6FE4">
        <w:rPr>
          <w:lang w:eastAsia="en-US"/>
        </w:rPr>
        <w:t>, should remain protected</w:t>
      </w:r>
      <w:r w:rsidR="00A81262">
        <w:rPr>
          <w:lang w:eastAsia="en-US"/>
        </w:rPr>
        <w:t>,</w:t>
      </w:r>
      <w:r w:rsidR="008A6FE4">
        <w:rPr>
          <w:lang w:eastAsia="en-US"/>
        </w:rPr>
        <w:t xml:space="preserve"> and</w:t>
      </w:r>
      <w:r w:rsidR="000C0F8F">
        <w:rPr>
          <w:lang w:eastAsia="en-US"/>
        </w:rPr>
        <w:t xml:space="preserve"> not be disclosed</w:t>
      </w:r>
      <w:r w:rsidRPr="000E20FB">
        <w:rPr>
          <w:lang w:eastAsia="en-US"/>
        </w:rPr>
        <w:t>.</w:t>
      </w:r>
      <w:r w:rsidR="000D377B">
        <w:rPr>
          <w:lang w:eastAsia="en-US"/>
        </w:rPr>
        <w:t xml:space="preserve"> This information, if publicly disclosed, would result in actual or potential </w:t>
      </w:r>
      <w:r w:rsidR="005446A5">
        <w:rPr>
          <w:lang w:eastAsia="en-US"/>
        </w:rPr>
        <w:t xml:space="preserve">economic </w:t>
      </w:r>
      <w:r w:rsidR="000D377B">
        <w:rPr>
          <w:lang w:eastAsia="en-US"/>
        </w:rPr>
        <w:t xml:space="preserve">harm </w:t>
      </w:r>
      <w:r w:rsidR="00650CBD">
        <w:rPr>
          <w:lang w:eastAsia="en-US"/>
        </w:rPr>
        <w:t>to</w:t>
      </w:r>
      <w:r w:rsidR="005446A5">
        <w:rPr>
          <w:lang w:eastAsia="en-US"/>
        </w:rPr>
        <w:t xml:space="preserve"> Georgia Power. Should the Company disclose the information</w:t>
      </w:r>
      <w:r w:rsidR="003D0285">
        <w:rPr>
          <w:lang w:eastAsia="en-US"/>
        </w:rPr>
        <w:t xml:space="preserve"> provided in the </w:t>
      </w:r>
      <w:r w:rsidR="00AD03ED">
        <w:rPr>
          <w:lang w:eastAsia="en-US"/>
        </w:rPr>
        <w:t>“</w:t>
      </w:r>
      <w:r w:rsidR="003D0285">
        <w:rPr>
          <w:lang w:eastAsia="en-US"/>
        </w:rPr>
        <w:t>KV</w:t>
      </w:r>
      <w:r w:rsidR="00AD03ED">
        <w:rPr>
          <w:lang w:eastAsia="en-US"/>
        </w:rPr>
        <w:t>”</w:t>
      </w:r>
      <w:r w:rsidR="003D0285">
        <w:rPr>
          <w:lang w:eastAsia="en-US"/>
        </w:rPr>
        <w:t xml:space="preserve"> and </w:t>
      </w:r>
      <w:r w:rsidR="00AD03ED">
        <w:rPr>
          <w:lang w:eastAsia="en-US"/>
        </w:rPr>
        <w:t>“</w:t>
      </w:r>
      <w:r w:rsidR="003D0285">
        <w:rPr>
          <w:lang w:eastAsia="en-US"/>
        </w:rPr>
        <w:t>Comments</w:t>
      </w:r>
      <w:r w:rsidR="00AD03ED">
        <w:rPr>
          <w:lang w:eastAsia="en-US"/>
        </w:rPr>
        <w:t>”</w:t>
      </w:r>
      <w:r w:rsidR="003D0285">
        <w:rPr>
          <w:lang w:eastAsia="en-US"/>
        </w:rPr>
        <w:t xml:space="preserve"> columns</w:t>
      </w:r>
      <w:r w:rsidR="005446A5">
        <w:rPr>
          <w:lang w:eastAsia="en-US"/>
        </w:rPr>
        <w:t xml:space="preserve">, </w:t>
      </w:r>
      <w:r w:rsidR="003D0285">
        <w:rPr>
          <w:lang w:eastAsia="en-US"/>
        </w:rPr>
        <w:t xml:space="preserve">a competitor </w:t>
      </w:r>
      <w:r w:rsidR="005D6602">
        <w:rPr>
          <w:lang w:eastAsia="en-US"/>
        </w:rPr>
        <w:t xml:space="preserve">or contractor </w:t>
      </w:r>
      <w:r w:rsidR="003D0285">
        <w:rPr>
          <w:lang w:eastAsia="en-US"/>
        </w:rPr>
        <w:t xml:space="preserve">could </w:t>
      </w:r>
      <w:r w:rsidR="009B528F">
        <w:rPr>
          <w:lang w:eastAsia="en-US"/>
        </w:rPr>
        <w:t xml:space="preserve">use the details provided to </w:t>
      </w:r>
      <w:r w:rsidR="003D0285">
        <w:rPr>
          <w:lang w:eastAsia="en-US"/>
        </w:rPr>
        <w:t>identify areas of the</w:t>
      </w:r>
      <w:r w:rsidR="009B528F">
        <w:rPr>
          <w:lang w:eastAsia="en-US"/>
        </w:rPr>
        <w:t xml:space="preserve"> </w:t>
      </w:r>
      <w:r w:rsidR="00D70070">
        <w:rPr>
          <w:lang w:eastAsia="en-US"/>
        </w:rPr>
        <w:t xml:space="preserve">Georgia </w:t>
      </w:r>
      <w:r w:rsidR="009B528F">
        <w:rPr>
          <w:lang w:eastAsia="en-US"/>
        </w:rPr>
        <w:t>Integrated T</w:t>
      </w:r>
      <w:r w:rsidR="003D0285">
        <w:rPr>
          <w:lang w:eastAsia="en-US"/>
        </w:rPr>
        <w:t xml:space="preserve">ransmission </w:t>
      </w:r>
      <w:r w:rsidR="009B528F">
        <w:rPr>
          <w:lang w:eastAsia="en-US"/>
        </w:rPr>
        <w:t>S</w:t>
      </w:r>
      <w:r w:rsidR="003D0285">
        <w:rPr>
          <w:lang w:eastAsia="en-US"/>
        </w:rPr>
        <w:t>ystem</w:t>
      </w:r>
      <w:r w:rsidR="009B528F">
        <w:rPr>
          <w:lang w:eastAsia="en-US"/>
        </w:rPr>
        <w:t xml:space="preserve"> (“ITS”) belonging to </w:t>
      </w:r>
      <w:r w:rsidR="00B03814">
        <w:rPr>
          <w:lang w:eastAsia="en-US"/>
        </w:rPr>
        <w:t xml:space="preserve">Georgia Power and other ITS </w:t>
      </w:r>
      <w:r w:rsidR="009B528F">
        <w:rPr>
          <w:lang w:eastAsia="en-US"/>
        </w:rPr>
        <w:t>participants</w:t>
      </w:r>
      <w:r w:rsidR="00B03814">
        <w:rPr>
          <w:lang w:eastAsia="en-US"/>
        </w:rPr>
        <w:t xml:space="preserve"> that experience vulnerabilities</w:t>
      </w:r>
      <w:r w:rsidR="009B528F">
        <w:rPr>
          <w:lang w:eastAsia="en-US"/>
        </w:rPr>
        <w:t xml:space="preserve">. </w:t>
      </w:r>
      <w:r w:rsidR="005D6602">
        <w:rPr>
          <w:lang w:eastAsia="en-US"/>
        </w:rPr>
        <w:t xml:space="preserve">The </w:t>
      </w:r>
      <w:r w:rsidR="009B528F">
        <w:rPr>
          <w:lang w:eastAsia="en-US"/>
        </w:rPr>
        <w:t xml:space="preserve">competitor </w:t>
      </w:r>
      <w:r w:rsidR="005D6602">
        <w:rPr>
          <w:lang w:eastAsia="en-US"/>
        </w:rPr>
        <w:t xml:space="preserve">or contractor </w:t>
      </w:r>
      <w:r w:rsidR="009B528F">
        <w:rPr>
          <w:lang w:eastAsia="en-US"/>
        </w:rPr>
        <w:t>could then</w:t>
      </w:r>
      <w:r w:rsidR="003D0285">
        <w:rPr>
          <w:lang w:eastAsia="en-US"/>
        </w:rPr>
        <w:t xml:space="preserve"> </w:t>
      </w:r>
      <w:r w:rsidR="00B03814">
        <w:rPr>
          <w:lang w:eastAsia="en-US"/>
        </w:rPr>
        <w:t>use the</w:t>
      </w:r>
      <w:r w:rsidR="009B528F">
        <w:rPr>
          <w:lang w:eastAsia="en-US"/>
        </w:rPr>
        <w:t xml:space="preserve"> trade secret</w:t>
      </w:r>
      <w:r w:rsidR="00B03814">
        <w:rPr>
          <w:lang w:eastAsia="en-US"/>
        </w:rPr>
        <w:t xml:space="preserve"> information </w:t>
      </w:r>
      <w:r w:rsidR="009B528F">
        <w:rPr>
          <w:lang w:eastAsia="en-US"/>
        </w:rPr>
        <w:t xml:space="preserve">provided </w:t>
      </w:r>
      <w:r w:rsidR="00B03814">
        <w:rPr>
          <w:lang w:eastAsia="en-US"/>
        </w:rPr>
        <w:t xml:space="preserve">to </w:t>
      </w:r>
      <w:r w:rsidR="003D0285">
        <w:rPr>
          <w:lang w:eastAsia="en-US"/>
        </w:rPr>
        <w:t>extort the Company in its attempt to</w:t>
      </w:r>
      <w:r w:rsidR="00AD03ED">
        <w:rPr>
          <w:lang w:eastAsia="en-US"/>
        </w:rPr>
        <w:t xml:space="preserve"> competitively</w:t>
      </w:r>
      <w:r w:rsidR="003D0285">
        <w:rPr>
          <w:lang w:eastAsia="en-US"/>
        </w:rPr>
        <w:t xml:space="preserve"> bid out work on repairs </w:t>
      </w:r>
      <w:r w:rsidR="00B03814">
        <w:rPr>
          <w:lang w:eastAsia="en-US"/>
        </w:rPr>
        <w:t>and/or upgrades</w:t>
      </w:r>
      <w:r w:rsidR="005446A5">
        <w:rPr>
          <w:lang w:eastAsia="en-US"/>
        </w:rPr>
        <w:t>.</w:t>
      </w:r>
      <w:r w:rsidR="003D0285">
        <w:rPr>
          <w:lang w:eastAsia="en-US"/>
        </w:rPr>
        <w:t xml:space="preserve"> A similar risk exists for </w:t>
      </w:r>
      <w:r w:rsidR="00AB4F70">
        <w:rPr>
          <w:lang w:eastAsia="en-US"/>
        </w:rPr>
        <w:t>p</w:t>
      </w:r>
      <w:r w:rsidR="00B03814">
        <w:rPr>
          <w:lang w:eastAsia="en-US"/>
        </w:rPr>
        <w:t>otential</w:t>
      </w:r>
      <w:r w:rsidR="003D0285">
        <w:rPr>
          <w:lang w:eastAsia="en-US"/>
        </w:rPr>
        <w:t xml:space="preserve"> bad actors, who may seek to use the information to </w:t>
      </w:r>
      <w:r w:rsidR="00B03814">
        <w:rPr>
          <w:lang w:eastAsia="en-US"/>
        </w:rPr>
        <w:t>disrupt the Company’s infrastructure</w:t>
      </w:r>
      <w:r w:rsidR="00AD03ED">
        <w:rPr>
          <w:lang w:eastAsia="en-US"/>
        </w:rPr>
        <w:t xml:space="preserve"> or take advantage of perceived vulnerabilities in the transmission system</w:t>
      </w:r>
      <w:r w:rsidR="00B03814">
        <w:rPr>
          <w:lang w:eastAsia="en-US"/>
        </w:rPr>
        <w:t>.</w:t>
      </w:r>
      <w:r w:rsidR="005446A5">
        <w:rPr>
          <w:lang w:eastAsia="en-US"/>
        </w:rPr>
        <w:t xml:space="preserve"> In addition, certain outage information included in C2 is provided to the Company from </w:t>
      </w:r>
      <w:r w:rsidR="00AB4F70">
        <w:rPr>
          <w:lang w:eastAsia="en-US"/>
        </w:rPr>
        <w:t xml:space="preserve">fellow </w:t>
      </w:r>
      <w:r w:rsidR="005446A5">
        <w:rPr>
          <w:lang w:eastAsia="en-US"/>
        </w:rPr>
        <w:t xml:space="preserve">Georgia </w:t>
      </w:r>
      <w:r w:rsidR="00AB4F70">
        <w:rPr>
          <w:lang w:eastAsia="en-US"/>
        </w:rPr>
        <w:t>ITS</w:t>
      </w:r>
      <w:r w:rsidR="005446A5">
        <w:rPr>
          <w:lang w:eastAsia="en-US"/>
        </w:rPr>
        <w:t xml:space="preserve"> participants and is not Georgia Power’s </w:t>
      </w:r>
      <w:r w:rsidR="005D6602">
        <w:rPr>
          <w:lang w:eastAsia="en-US"/>
        </w:rPr>
        <w:t xml:space="preserve">trade secret designation </w:t>
      </w:r>
      <w:r w:rsidR="005446A5">
        <w:rPr>
          <w:lang w:eastAsia="en-US"/>
        </w:rPr>
        <w:t xml:space="preserve">to waive. </w:t>
      </w:r>
    </w:p>
    <w:p w14:paraId="7C96BDE1" w14:textId="5399C92C" w:rsidR="000E20FB" w:rsidRPr="000E20FB" w:rsidRDefault="000E20FB" w:rsidP="00C752F0">
      <w:pPr>
        <w:pStyle w:val="BodyText"/>
        <w:ind w:left="720" w:firstLine="0"/>
        <w:jc w:val="both"/>
        <w:rPr>
          <w:lang w:eastAsia="en-US"/>
        </w:rPr>
      </w:pPr>
      <w:r w:rsidRPr="3A6AD63C">
        <w:rPr>
          <w:b/>
          <w:bCs/>
          <w:lang w:eastAsia="en-US"/>
        </w:rPr>
        <w:t xml:space="preserve">Exhibit </w:t>
      </w:r>
      <w:r w:rsidR="0061060F" w:rsidRPr="3A6AD63C">
        <w:rPr>
          <w:b/>
          <w:bCs/>
          <w:lang w:eastAsia="en-US"/>
        </w:rPr>
        <w:t>8A</w:t>
      </w:r>
      <w:r w:rsidRPr="3A6AD63C">
        <w:rPr>
          <w:lang w:eastAsia="en-US"/>
        </w:rPr>
        <w:t xml:space="preserve">: </w:t>
      </w:r>
      <w:r w:rsidRPr="3A6AD63C">
        <w:rPr>
          <w:i/>
          <w:iCs/>
          <w:lang w:eastAsia="en-US"/>
        </w:rPr>
        <w:t>Estimated cost amounts on pages 7-20 in Georgia Power’s “2024 GA ITS Ten-Year Plan (2025-2034)”</w:t>
      </w:r>
    </w:p>
    <w:p w14:paraId="3DFF4F8F" w14:textId="434F254E" w:rsidR="000E20FB" w:rsidRPr="000E20FB" w:rsidRDefault="000E20FB" w:rsidP="00C752F0">
      <w:pPr>
        <w:pStyle w:val="BodyText"/>
        <w:spacing w:line="480" w:lineRule="auto"/>
        <w:jc w:val="both"/>
        <w:rPr>
          <w:lang w:eastAsia="en-US"/>
        </w:rPr>
      </w:pPr>
      <w:r w:rsidRPr="000E20FB">
        <w:rPr>
          <w:lang w:eastAsia="en-US"/>
        </w:rPr>
        <w:t xml:space="preserve">The Company </w:t>
      </w:r>
      <w:r w:rsidR="00CF517C">
        <w:rPr>
          <w:lang w:eastAsia="en-US"/>
        </w:rPr>
        <w:t>can</w:t>
      </w:r>
      <w:r w:rsidRPr="000E20FB">
        <w:rPr>
          <w:lang w:eastAsia="en-US"/>
        </w:rPr>
        <w:t xml:space="preserve">not publicly disclose the </w:t>
      </w:r>
      <w:r w:rsidR="009422F1">
        <w:rPr>
          <w:lang w:eastAsia="en-US"/>
        </w:rPr>
        <w:t xml:space="preserve">forecasted </w:t>
      </w:r>
      <w:r w:rsidRPr="000E20FB">
        <w:rPr>
          <w:lang w:eastAsia="en-US"/>
        </w:rPr>
        <w:t xml:space="preserve">cost amounts included on pages 7-20 of the 2024 Georgia </w:t>
      </w:r>
      <w:r w:rsidR="00AD03ED">
        <w:rPr>
          <w:lang w:eastAsia="en-US"/>
        </w:rPr>
        <w:t>ITS</w:t>
      </w:r>
      <w:r w:rsidRPr="000E20FB">
        <w:rPr>
          <w:lang w:eastAsia="en-US"/>
        </w:rPr>
        <w:t xml:space="preserve"> Ten-Year Plan (2025-2034). The </w:t>
      </w:r>
      <w:r w:rsidR="000D377B">
        <w:rPr>
          <w:lang w:eastAsia="en-US"/>
        </w:rPr>
        <w:t>challenged</w:t>
      </w:r>
      <w:r w:rsidRPr="000E20FB">
        <w:rPr>
          <w:lang w:eastAsia="en-US"/>
        </w:rPr>
        <w:t xml:space="preserve"> amounts</w:t>
      </w:r>
      <w:r w:rsidR="00B949EB">
        <w:rPr>
          <w:lang w:eastAsia="en-US"/>
        </w:rPr>
        <w:t>, which</w:t>
      </w:r>
      <w:r w:rsidRPr="000E20FB">
        <w:rPr>
          <w:lang w:eastAsia="en-US"/>
        </w:rPr>
        <w:t xml:space="preserve"> are </w:t>
      </w:r>
      <w:r w:rsidR="0078248B">
        <w:rPr>
          <w:lang w:eastAsia="en-US"/>
        </w:rPr>
        <w:t xml:space="preserve">total </w:t>
      </w:r>
      <w:r w:rsidRPr="000E20FB">
        <w:rPr>
          <w:lang w:eastAsia="en-US"/>
        </w:rPr>
        <w:t>cost estimates for specific transmission system projects</w:t>
      </w:r>
      <w:r w:rsidR="00CA7967">
        <w:rPr>
          <w:lang w:eastAsia="en-US"/>
        </w:rPr>
        <w:t>, are protected as trade secrets in all aspects of the Company’s transmission planning process—including at the Southeastern Regional Transmission Planning process</w:t>
      </w:r>
      <w:r w:rsidRPr="000E20FB">
        <w:rPr>
          <w:lang w:eastAsia="en-US"/>
        </w:rPr>
        <w:t xml:space="preserve">. To publicly disclose these costs would put the Company and customers at an economic disadvantage. First, the Company bids out certain components of its transmission work. </w:t>
      </w:r>
      <w:r w:rsidR="009422F1">
        <w:rPr>
          <w:lang w:eastAsia="en-US"/>
        </w:rPr>
        <w:t>Revealing</w:t>
      </w:r>
      <w:r w:rsidRPr="000E20FB">
        <w:rPr>
          <w:lang w:eastAsia="en-US"/>
        </w:rPr>
        <w:t xml:space="preserve"> these </w:t>
      </w:r>
      <w:r w:rsidR="00571154">
        <w:rPr>
          <w:lang w:eastAsia="en-US"/>
        </w:rPr>
        <w:t xml:space="preserve">project </w:t>
      </w:r>
      <w:r w:rsidRPr="000E20FB">
        <w:rPr>
          <w:lang w:eastAsia="en-US"/>
        </w:rPr>
        <w:t xml:space="preserve">cost estimates would provide </w:t>
      </w:r>
      <w:r w:rsidR="00AD03ED">
        <w:rPr>
          <w:lang w:eastAsia="en-US"/>
        </w:rPr>
        <w:t>vendors and suppliers</w:t>
      </w:r>
      <w:r w:rsidRPr="000E20FB">
        <w:rPr>
          <w:lang w:eastAsia="en-US"/>
        </w:rPr>
        <w:t xml:space="preserve"> with details regarding the </w:t>
      </w:r>
      <w:r w:rsidR="00AD03ED">
        <w:rPr>
          <w:lang w:eastAsia="en-US"/>
        </w:rPr>
        <w:t xml:space="preserve">amount and timing of the </w:t>
      </w:r>
      <w:r w:rsidRPr="000E20FB">
        <w:rPr>
          <w:lang w:eastAsia="en-US"/>
        </w:rPr>
        <w:t xml:space="preserve">Company’s expected costs for </w:t>
      </w:r>
      <w:r w:rsidR="00AD03ED" w:rsidRPr="000E20FB">
        <w:rPr>
          <w:lang w:eastAsia="en-US"/>
        </w:rPr>
        <w:t>the same</w:t>
      </w:r>
      <w:r w:rsidR="00AD03ED">
        <w:rPr>
          <w:lang w:eastAsia="en-US"/>
        </w:rPr>
        <w:t xml:space="preserve"> or</w:t>
      </w:r>
      <w:r w:rsidR="00AD03ED" w:rsidRPr="000E20FB">
        <w:rPr>
          <w:lang w:eastAsia="en-US"/>
        </w:rPr>
        <w:t xml:space="preserve"> </w:t>
      </w:r>
      <w:r w:rsidRPr="000E20FB">
        <w:rPr>
          <w:lang w:eastAsia="en-US"/>
        </w:rPr>
        <w:t xml:space="preserve">substantially similar work, setting a floor for bids and resulting in inflated proposals, </w:t>
      </w:r>
      <w:r w:rsidR="00AD03ED">
        <w:rPr>
          <w:lang w:eastAsia="en-US"/>
        </w:rPr>
        <w:t xml:space="preserve">which </w:t>
      </w:r>
      <w:r w:rsidRPr="000E20FB">
        <w:rPr>
          <w:lang w:eastAsia="en-US"/>
        </w:rPr>
        <w:t xml:space="preserve">in turn </w:t>
      </w:r>
      <w:r w:rsidR="00AD03ED">
        <w:rPr>
          <w:lang w:eastAsia="en-US"/>
        </w:rPr>
        <w:t>would result</w:t>
      </w:r>
      <w:r w:rsidR="00AD03ED" w:rsidRPr="000E20FB">
        <w:rPr>
          <w:lang w:eastAsia="en-US"/>
        </w:rPr>
        <w:t xml:space="preserve"> </w:t>
      </w:r>
      <w:r w:rsidRPr="000E20FB">
        <w:rPr>
          <w:lang w:eastAsia="en-US"/>
        </w:rPr>
        <w:t xml:space="preserve">in higher costs to the Company and customers. Certain costs included are also the confidential information of other </w:t>
      </w:r>
      <w:r w:rsidR="00590801">
        <w:rPr>
          <w:lang w:eastAsia="en-US"/>
        </w:rPr>
        <w:t xml:space="preserve">Georgia </w:t>
      </w:r>
      <w:r w:rsidR="002A1879">
        <w:rPr>
          <w:lang w:eastAsia="en-US"/>
        </w:rPr>
        <w:t>IT</w:t>
      </w:r>
      <w:r w:rsidR="00590801">
        <w:rPr>
          <w:lang w:eastAsia="en-US"/>
        </w:rPr>
        <w:t>S</w:t>
      </w:r>
      <w:r w:rsidRPr="000E20FB">
        <w:rPr>
          <w:lang w:eastAsia="en-US"/>
        </w:rPr>
        <w:t xml:space="preserve"> participants</w:t>
      </w:r>
      <w:r w:rsidR="005D6602">
        <w:rPr>
          <w:lang w:eastAsia="en-US"/>
        </w:rPr>
        <w:t>, which the Company cannot release</w:t>
      </w:r>
      <w:r w:rsidRPr="000E20FB">
        <w:rPr>
          <w:lang w:eastAsia="en-US"/>
        </w:rPr>
        <w:t xml:space="preserve">. Finally, cost amounts include costs for </w:t>
      </w:r>
      <w:r w:rsidR="00EF50C1">
        <w:rPr>
          <w:lang w:eastAsia="en-US"/>
        </w:rPr>
        <w:t>specific</w:t>
      </w:r>
      <w:r w:rsidRPr="000E20FB">
        <w:rPr>
          <w:lang w:eastAsia="en-US"/>
        </w:rPr>
        <w:t xml:space="preserve"> customer choice projects. To publicly disclose such costs would give the Company’s </w:t>
      </w:r>
      <w:r w:rsidR="00751105">
        <w:rPr>
          <w:lang w:eastAsia="en-US"/>
        </w:rPr>
        <w:t xml:space="preserve">retail </w:t>
      </w:r>
      <w:r w:rsidRPr="000E20FB">
        <w:rPr>
          <w:lang w:eastAsia="en-US"/>
        </w:rPr>
        <w:t>competitors insight into its pricing and negotiation strategies</w:t>
      </w:r>
      <w:r w:rsidR="009422F1">
        <w:rPr>
          <w:lang w:eastAsia="en-US"/>
        </w:rPr>
        <w:t xml:space="preserve"> with specific </w:t>
      </w:r>
      <w:r w:rsidR="00751105">
        <w:rPr>
          <w:lang w:eastAsia="en-US"/>
        </w:rPr>
        <w:t xml:space="preserve">large load </w:t>
      </w:r>
      <w:r w:rsidR="009422F1">
        <w:rPr>
          <w:lang w:eastAsia="en-US"/>
        </w:rPr>
        <w:t>customers</w:t>
      </w:r>
      <w:r w:rsidRPr="000E20FB">
        <w:rPr>
          <w:lang w:eastAsia="en-US"/>
        </w:rPr>
        <w:t xml:space="preserve">, allowing them to undermine </w:t>
      </w:r>
      <w:r w:rsidR="009422F1">
        <w:rPr>
          <w:lang w:eastAsia="en-US"/>
        </w:rPr>
        <w:t xml:space="preserve">and undercut </w:t>
      </w:r>
      <w:r w:rsidRPr="000E20FB">
        <w:rPr>
          <w:lang w:eastAsia="en-US"/>
        </w:rPr>
        <w:t>the Company’s</w:t>
      </w:r>
      <w:r w:rsidR="009422F1">
        <w:rPr>
          <w:lang w:eastAsia="en-US"/>
        </w:rPr>
        <w:t xml:space="preserve"> market</w:t>
      </w:r>
      <w:r w:rsidRPr="000E20FB">
        <w:rPr>
          <w:lang w:eastAsia="en-US"/>
        </w:rPr>
        <w:t xml:space="preserve"> position</w:t>
      </w:r>
      <w:r w:rsidR="009422F1">
        <w:rPr>
          <w:lang w:eastAsia="en-US"/>
        </w:rPr>
        <w:t xml:space="preserve"> to the detriment of Georgia Power. </w:t>
      </w:r>
    </w:p>
    <w:p w14:paraId="14273900" w14:textId="1749B5A9" w:rsidR="00E17FC1" w:rsidRPr="0031186A" w:rsidRDefault="00774707" w:rsidP="001E0C5D">
      <w:pPr>
        <w:pStyle w:val="Heading"/>
      </w:pPr>
      <w:r w:rsidRPr="0031186A">
        <w:t>CONCLUSION</w:t>
      </w:r>
    </w:p>
    <w:p w14:paraId="57F07507" w14:textId="75BD6D10" w:rsidR="000E20FB" w:rsidRPr="000E20FB" w:rsidRDefault="000E20FB" w:rsidP="00F80816">
      <w:pPr>
        <w:pStyle w:val="BodyText"/>
        <w:widowControl/>
        <w:spacing w:line="480" w:lineRule="auto"/>
        <w:jc w:val="both"/>
      </w:pPr>
      <w:r w:rsidRPr="000E20FB">
        <w:t xml:space="preserve">The Company has </w:t>
      </w:r>
      <w:r w:rsidR="000D377B">
        <w:t>revised</w:t>
      </w:r>
      <w:r w:rsidRPr="000E20FB">
        <w:t xml:space="preserve"> Exhibits </w:t>
      </w:r>
      <w:r w:rsidR="00F34DC5">
        <w:t>6A and 7A</w:t>
      </w:r>
      <w:r w:rsidRPr="000E20FB">
        <w:t xml:space="preserve"> as described. For the reasons </w:t>
      </w:r>
      <w:r w:rsidR="00C752F0">
        <w:t>set forth</w:t>
      </w:r>
      <w:r w:rsidR="00F072FB">
        <w:t xml:space="preserve"> </w:t>
      </w:r>
      <w:r w:rsidRPr="000E20FB">
        <w:t xml:space="preserve">above and in its </w:t>
      </w:r>
      <w:r w:rsidR="0008170F" w:rsidRPr="000E20FB">
        <w:t>filed trade secret assert</w:t>
      </w:r>
      <w:r w:rsidRPr="000E20FB">
        <w:t xml:space="preserve">ions, the Company </w:t>
      </w:r>
      <w:r w:rsidR="000D377B">
        <w:t>is not willing to</w:t>
      </w:r>
      <w:r w:rsidR="005D6602">
        <w:t>—and should not be required to—</w:t>
      </w:r>
      <w:r w:rsidRPr="000E20FB">
        <w:t xml:space="preserve">publicly disclose all of the requested </w:t>
      </w:r>
      <w:r w:rsidR="000D377B">
        <w:t xml:space="preserve">trade secret </w:t>
      </w:r>
      <w:r w:rsidRPr="000E20FB">
        <w:t>information</w:t>
      </w:r>
      <w:r w:rsidR="000D377B">
        <w:t>. A</w:t>
      </w:r>
      <w:r w:rsidR="00C752F0">
        <w:t xml:space="preserve">ccordingly, Georgia Power </w:t>
      </w:r>
      <w:r w:rsidR="00F247E2">
        <w:t xml:space="preserve">requests the Commission deny </w:t>
      </w:r>
      <w:r w:rsidR="000D377B">
        <w:t>GIPL &amp; Southface’s</w:t>
      </w:r>
      <w:r w:rsidR="00F247E2">
        <w:t xml:space="preserve"> Motion</w:t>
      </w:r>
      <w:r w:rsidR="00D1148B">
        <w:t xml:space="preserve"> and preserve the trade secret designations for the protection of the Company and ultimately Georgia Power customers</w:t>
      </w:r>
      <w:r w:rsidR="00F247E2">
        <w:t>.</w:t>
      </w:r>
    </w:p>
    <w:p w14:paraId="7856F5BB" w14:textId="577194C0" w:rsidR="00E17FC1" w:rsidRDefault="00774707">
      <w:pPr>
        <w:suppressAutoHyphens/>
        <w:overflowPunct w:val="0"/>
        <w:autoSpaceDE w:val="0"/>
        <w:autoSpaceDN w:val="0"/>
        <w:adjustRightInd w:val="0"/>
        <w:spacing w:line="480" w:lineRule="auto"/>
        <w:ind w:firstLine="720"/>
        <w:textAlignment w:val="baseline"/>
      </w:pPr>
      <w:r w:rsidRPr="00282F7E">
        <w:t xml:space="preserve">Respectfully </w:t>
      </w:r>
      <w:r w:rsidRPr="005B2715">
        <w:t xml:space="preserve">submitted, this </w:t>
      </w:r>
      <w:r w:rsidR="005B2715" w:rsidRPr="005B2715">
        <w:t xml:space="preserve">8th </w:t>
      </w:r>
      <w:r w:rsidRPr="005B2715">
        <w:t>day of July 202</w:t>
      </w:r>
      <w:r w:rsidR="00C92755" w:rsidRPr="005B2715">
        <w:t>5</w:t>
      </w:r>
      <w:r w:rsidRPr="00282F7E">
        <w:t>.</w:t>
      </w:r>
    </w:p>
    <w:p w14:paraId="0994806F" w14:textId="77777777" w:rsidR="00E17FC1" w:rsidRDefault="00E17FC1">
      <w:pPr>
        <w:suppressAutoHyphens/>
        <w:overflowPunct w:val="0"/>
        <w:autoSpaceDE w:val="0"/>
        <w:autoSpaceDN w:val="0"/>
        <w:adjustRightInd w:val="0"/>
        <w:ind w:firstLine="720"/>
        <w:textAlignment w:val="baseline"/>
      </w:pPr>
    </w:p>
    <w:p w14:paraId="572A71D0" w14:textId="77777777" w:rsidR="00A13A0F" w:rsidRPr="00282F7E" w:rsidRDefault="00A13A0F">
      <w:pPr>
        <w:suppressAutoHyphens/>
        <w:overflowPunct w:val="0"/>
        <w:autoSpaceDE w:val="0"/>
        <w:autoSpaceDN w:val="0"/>
        <w:adjustRightInd w:val="0"/>
        <w:ind w:firstLine="720"/>
        <w:textAlignment w:val="baseline"/>
      </w:pPr>
    </w:p>
    <w:p w14:paraId="210FDC9F" w14:textId="15FB4B8C" w:rsidR="00E17FC1" w:rsidRPr="00282F7E" w:rsidRDefault="00774707">
      <w:pPr>
        <w:suppressAutoHyphens/>
        <w:overflowPunct w:val="0"/>
        <w:autoSpaceDE w:val="0"/>
        <w:autoSpaceDN w:val="0"/>
        <w:adjustRightInd w:val="0"/>
        <w:ind w:right="1080"/>
        <w:jc w:val="right"/>
        <w:textAlignment w:val="baseline"/>
      </w:pPr>
      <w:r>
        <w:tab/>
      </w:r>
      <w:r w:rsidRPr="00282F7E">
        <w:t>_________________________________</w:t>
      </w:r>
    </w:p>
    <w:p w14:paraId="788F7F5F" w14:textId="77777777" w:rsidR="00E17FC1" w:rsidRDefault="00774707">
      <w:pPr>
        <w:suppressAutoHyphens/>
        <w:overflowPunct w:val="0"/>
        <w:autoSpaceDE w:val="0"/>
        <w:autoSpaceDN w:val="0"/>
        <w:adjustRightInd w:val="0"/>
        <w:ind w:left="4320" w:right="1080"/>
        <w:textAlignment w:val="baseline"/>
      </w:pPr>
      <w:r w:rsidRPr="00282F7E">
        <w:t>Brandon F. Marzo</w:t>
      </w:r>
    </w:p>
    <w:p w14:paraId="341667E2" w14:textId="77777777" w:rsidR="00E17FC1" w:rsidRDefault="00774707">
      <w:pPr>
        <w:suppressAutoHyphens/>
        <w:overflowPunct w:val="0"/>
        <w:autoSpaceDE w:val="0"/>
        <w:autoSpaceDN w:val="0"/>
        <w:adjustRightInd w:val="0"/>
        <w:ind w:left="4320" w:right="1080"/>
        <w:textAlignment w:val="baseline"/>
      </w:pPr>
      <w:r>
        <w:t>Steven J. Hewitson</w:t>
      </w:r>
    </w:p>
    <w:p w14:paraId="5A9C130E" w14:textId="77777777" w:rsidR="00E17FC1" w:rsidRDefault="00774707">
      <w:pPr>
        <w:suppressAutoHyphens/>
        <w:overflowPunct w:val="0"/>
        <w:autoSpaceDE w:val="0"/>
        <w:autoSpaceDN w:val="0"/>
        <w:adjustRightInd w:val="0"/>
        <w:ind w:left="4320" w:right="1080"/>
        <w:textAlignment w:val="baseline"/>
      </w:pPr>
      <w:r>
        <w:t>Allison W. Pryor</w:t>
      </w:r>
    </w:p>
    <w:p w14:paraId="4B0E4CA0" w14:textId="76E14AAE" w:rsidR="00E60009" w:rsidRPr="00282F7E" w:rsidRDefault="00E60009">
      <w:pPr>
        <w:suppressAutoHyphens/>
        <w:overflowPunct w:val="0"/>
        <w:autoSpaceDE w:val="0"/>
        <w:autoSpaceDN w:val="0"/>
        <w:adjustRightInd w:val="0"/>
        <w:ind w:left="4320" w:right="1080"/>
        <w:textAlignment w:val="baseline"/>
      </w:pPr>
      <w:r>
        <w:t>Holly R. Ingram</w:t>
      </w:r>
    </w:p>
    <w:p w14:paraId="3093E4A4" w14:textId="77777777" w:rsidR="00E17FC1" w:rsidRPr="00282F7E" w:rsidRDefault="00774707">
      <w:pPr>
        <w:suppressAutoHyphens/>
        <w:overflowPunct w:val="0"/>
        <w:autoSpaceDE w:val="0"/>
        <w:autoSpaceDN w:val="0"/>
        <w:adjustRightInd w:val="0"/>
        <w:spacing w:after="480"/>
        <w:ind w:left="4320" w:right="1080"/>
        <w:textAlignment w:val="baseline"/>
        <w:rPr>
          <w:i/>
        </w:rPr>
      </w:pPr>
      <w:r w:rsidRPr="00282F7E">
        <w:rPr>
          <w:i/>
        </w:rPr>
        <w:t>Attorneys for Georgia Power Company</w:t>
      </w:r>
    </w:p>
    <w:p w14:paraId="34B73847" w14:textId="41B45C23" w:rsidR="00E17FC1" w:rsidRPr="00A57841" w:rsidRDefault="00774707">
      <w:pPr>
        <w:suppressAutoHyphens/>
        <w:overflowPunct w:val="0"/>
        <w:autoSpaceDE w:val="0"/>
        <w:autoSpaceDN w:val="0"/>
        <w:adjustRightInd w:val="0"/>
        <w:ind w:left="4320"/>
        <w:textAlignment w:val="baseline"/>
        <w:rPr>
          <w:smallCaps/>
        </w:rPr>
      </w:pPr>
      <w:r w:rsidRPr="00A57841">
        <w:rPr>
          <w:smallCaps/>
        </w:rPr>
        <w:t xml:space="preserve">Troutman </w:t>
      </w:r>
      <w:r>
        <w:rPr>
          <w:smallCaps/>
        </w:rPr>
        <w:t xml:space="preserve">Pepper </w:t>
      </w:r>
      <w:r w:rsidR="004B2553">
        <w:rPr>
          <w:smallCaps/>
        </w:rPr>
        <w:t>Locke</w:t>
      </w:r>
      <w:r w:rsidRPr="00A57841">
        <w:rPr>
          <w:smallCaps/>
        </w:rPr>
        <w:t xml:space="preserve"> LLP</w:t>
      </w:r>
    </w:p>
    <w:p w14:paraId="73F6C751" w14:textId="77777777" w:rsidR="00E17FC1" w:rsidRPr="00282F7E" w:rsidRDefault="00774707">
      <w:pPr>
        <w:suppressAutoHyphens/>
        <w:overflowPunct w:val="0"/>
        <w:autoSpaceDE w:val="0"/>
        <w:autoSpaceDN w:val="0"/>
        <w:adjustRightInd w:val="0"/>
        <w:ind w:left="4320" w:right="1080"/>
        <w:textAlignment w:val="baseline"/>
      </w:pPr>
      <w:r w:rsidRPr="00282F7E">
        <w:rPr>
          <w:smallCaps/>
        </w:rPr>
        <w:t>B</w:t>
      </w:r>
      <w:r w:rsidRPr="00282F7E">
        <w:t>ank of America Plaza</w:t>
      </w:r>
      <w:r>
        <w:t xml:space="preserve">, </w:t>
      </w:r>
      <w:r w:rsidRPr="00282F7E">
        <w:t xml:space="preserve">Suite </w:t>
      </w:r>
      <w:r>
        <w:t>3000</w:t>
      </w:r>
    </w:p>
    <w:p w14:paraId="5D497239" w14:textId="77777777" w:rsidR="00E17FC1" w:rsidRPr="00282F7E" w:rsidRDefault="00774707">
      <w:pPr>
        <w:suppressAutoHyphens/>
        <w:overflowPunct w:val="0"/>
        <w:autoSpaceDE w:val="0"/>
        <w:autoSpaceDN w:val="0"/>
        <w:adjustRightInd w:val="0"/>
        <w:ind w:left="4320" w:right="1080"/>
        <w:textAlignment w:val="baseline"/>
      </w:pPr>
      <w:r w:rsidRPr="00282F7E">
        <w:t>600 Peachtree Street, N.E.</w:t>
      </w:r>
    </w:p>
    <w:p w14:paraId="65AFE207" w14:textId="77777777" w:rsidR="00E17FC1" w:rsidRPr="00282F7E" w:rsidRDefault="00774707">
      <w:pPr>
        <w:suppressAutoHyphens/>
        <w:overflowPunct w:val="0"/>
        <w:autoSpaceDE w:val="0"/>
        <w:autoSpaceDN w:val="0"/>
        <w:adjustRightInd w:val="0"/>
        <w:ind w:left="4320" w:right="1080"/>
        <w:textAlignment w:val="baseline"/>
      </w:pPr>
      <w:r w:rsidRPr="00282F7E">
        <w:t>Atlanta, Georgia 30308-2216</w:t>
      </w:r>
    </w:p>
    <w:p w14:paraId="277F00E9" w14:textId="77777777" w:rsidR="00E17FC1" w:rsidRDefault="00774707">
      <w:pPr>
        <w:suppressAutoHyphens/>
        <w:overflowPunct w:val="0"/>
        <w:autoSpaceDE w:val="0"/>
        <w:autoSpaceDN w:val="0"/>
        <w:adjustRightInd w:val="0"/>
        <w:ind w:left="4320" w:right="1080"/>
        <w:textAlignment w:val="baseline"/>
      </w:pPr>
      <w:r w:rsidRPr="00282F7E">
        <w:t>(404) 885-3000</w:t>
      </w:r>
    </w:p>
    <w:sectPr w:rsidR="00E17FC1">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3A0C4" w14:textId="77777777" w:rsidR="004E2AFC" w:rsidRDefault="004E2AFC">
      <w:r>
        <w:separator/>
      </w:r>
    </w:p>
  </w:endnote>
  <w:endnote w:type="continuationSeparator" w:id="0">
    <w:p w14:paraId="5D05525B" w14:textId="77777777" w:rsidR="004E2AFC" w:rsidRDefault="004E2AFC">
      <w:r>
        <w:continuationSeparator/>
      </w:r>
    </w:p>
  </w:endnote>
  <w:endnote w:type="continuationNotice" w:id="1">
    <w:p w14:paraId="0B09C7E6" w14:textId="77777777" w:rsidR="004E2AFC" w:rsidRDefault="004E2A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3561928"/>
      <w:docPartObj>
        <w:docPartGallery w:val="Page Numbers (Bottom of Page)"/>
        <w:docPartUnique/>
      </w:docPartObj>
    </w:sdtPr>
    <w:sdtEndPr>
      <w:rPr>
        <w:noProof/>
      </w:rPr>
    </w:sdtEndPr>
    <w:sdtContent>
      <w:p w14:paraId="6B75B60E" w14:textId="2749323A" w:rsidR="00FA3395" w:rsidRDefault="00FA339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8D66219" w14:textId="1D9ED4B8" w:rsidR="00E17FC1" w:rsidRDefault="00E17FC1" w:rsidP="009104F3">
    <w:pPr>
      <w:pStyle w:val="Footer"/>
      <w:spacing w:line="200" w:lineRule="exac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D446B" w14:textId="77777777" w:rsidR="004E2AFC" w:rsidRDefault="004E2AFC">
      <w:r>
        <w:separator/>
      </w:r>
    </w:p>
  </w:footnote>
  <w:footnote w:type="continuationSeparator" w:id="0">
    <w:p w14:paraId="6A2FFE74" w14:textId="77777777" w:rsidR="004E2AFC" w:rsidRDefault="004E2AFC">
      <w:r>
        <w:continuationSeparator/>
      </w:r>
    </w:p>
  </w:footnote>
  <w:footnote w:type="continuationNotice" w:id="1">
    <w:p w14:paraId="43355F92" w14:textId="77777777" w:rsidR="004E2AFC" w:rsidRDefault="004E2AFC"/>
  </w:footnote>
  <w:footnote w:id="2">
    <w:p w14:paraId="11728926" w14:textId="3D50FAA7" w:rsidR="00847AD5" w:rsidRDefault="00847AD5" w:rsidP="00D267CD">
      <w:pPr>
        <w:pStyle w:val="FootnoteText"/>
        <w:jc w:val="both"/>
      </w:pPr>
      <w:r>
        <w:rPr>
          <w:rStyle w:val="FootnoteReference"/>
        </w:rPr>
        <w:footnoteRef/>
      </w:r>
      <w:r w:rsidR="00147DE8">
        <w:t xml:space="preserve">These components of the Company’s initial filing as well as </w:t>
      </w:r>
      <w:r w:rsidR="00375A76">
        <w:t>HR 1-</w:t>
      </w:r>
      <w:r w:rsidR="00147DE8">
        <w:t xml:space="preserve">2 are included in public disclosure form as </w:t>
      </w:r>
      <w:r>
        <w:rPr>
          <w:lang w:eastAsia="en-US"/>
        </w:rPr>
        <w:t>Exhibits 2A, 3A, 4A, 5A, 6A, 7A, and 8A</w:t>
      </w:r>
      <w:r w:rsidR="00147DE8">
        <w:rPr>
          <w:lang w:eastAsia="en-US"/>
        </w:rPr>
        <w:t xml:space="preserve"> to the Motion. </w:t>
      </w:r>
    </w:p>
  </w:footnote>
  <w:footnote w:id="3">
    <w:p w14:paraId="6CAFF0CD" w14:textId="53C0F395" w:rsidR="00D91A0E" w:rsidRDefault="00D91A0E" w:rsidP="00D267CD">
      <w:pPr>
        <w:pStyle w:val="FootnoteText"/>
        <w:jc w:val="both"/>
      </w:pPr>
      <w:r>
        <w:rPr>
          <w:rStyle w:val="FootnoteReference"/>
        </w:rPr>
        <w:footnoteRef/>
      </w:r>
      <w:r>
        <w:t xml:space="preserve"> </w:t>
      </w:r>
      <w:r>
        <w:rPr>
          <w:lang w:eastAsia="en-US"/>
        </w:rPr>
        <w:t xml:space="preserve">Commission </w:t>
      </w:r>
      <w:r w:rsidRPr="00DF5463">
        <w:rPr>
          <w:lang w:eastAsia="en-US"/>
        </w:rPr>
        <w:t>Rule 515-3-1-.11</w:t>
      </w:r>
      <w:r>
        <w:rPr>
          <w:lang w:eastAsia="en-US"/>
        </w:rPr>
        <w:t>(4).</w:t>
      </w:r>
    </w:p>
  </w:footnote>
  <w:footnote w:id="4">
    <w:p w14:paraId="26F26E4B" w14:textId="7902EE90" w:rsidR="004D6BFD" w:rsidRDefault="004D6BFD" w:rsidP="00D267CD">
      <w:pPr>
        <w:pStyle w:val="FootnoteText"/>
        <w:jc w:val="both"/>
      </w:pPr>
      <w:r>
        <w:rPr>
          <w:rStyle w:val="FootnoteReference"/>
        </w:rPr>
        <w:footnoteRef/>
      </w:r>
      <w:r>
        <w:t xml:space="preserve"> </w:t>
      </w:r>
      <w:r w:rsidR="00EB5576">
        <w:t xml:space="preserve">The Company’s </w:t>
      </w:r>
      <w:r w:rsidR="0008170F">
        <w:t xml:space="preserve">verified trade secret assertions are included </w:t>
      </w:r>
      <w:r w:rsidR="00EB5576">
        <w:t xml:space="preserve">as </w:t>
      </w:r>
      <w:r>
        <w:t>Motion Exhibits 2B through 8B.</w:t>
      </w:r>
    </w:p>
  </w:footnote>
  <w:footnote w:id="5">
    <w:p w14:paraId="367E08E1" w14:textId="77777777" w:rsidR="00214C0D" w:rsidRDefault="00214C0D" w:rsidP="008D6199">
      <w:pPr>
        <w:pStyle w:val="FootnoteText"/>
        <w:jc w:val="both"/>
      </w:pPr>
      <w:r>
        <w:rPr>
          <w:rStyle w:val="FootnoteReference"/>
        </w:rPr>
        <w:footnoteRef/>
      </w:r>
      <w:r>
        <w:t xml:space="preserve"> </w:t>
      </w:r>
      <w:r>
        <w:rPr>
          <w:lang w:eastAsia="en-US"/>
        </w:rPr>
        <w:t>O.C.G.A. § 10-1-761(4) (emphasis added).</w:t>
      </w:r>
    </w:p>
  </w:footnote>
  <w:footnote w:id="6">
    <w:p w14:paraId="393D9F1D" w14:textId="32939D2C" w:rsidR="00026B36" w:rsidRDefault="00026B36" w:rsidP="00D267CD">
      <w:pPr>
        <w:pStyle w:val="FootnoteText"/>
        <w:jc w:val="both"/>
      </w:pPr>
      <w:r>
        <w:rPr>
          <w:rStyle w:val="FootnoteReference"/>
        </w:rPr>
        <w:footnoteRef/>
      </w:r>
      <w:r>
        <w:t xml:space="preserve"> </w:t>
      </w:r>
      <w:r w:rsidR="00F7656C">
        <w:rPr>
          <w:i/>
          <w:iCs/>
        </w:rPr>
        <w:t xml:space="preserve">See </w:t>
      </w:r>
      <w:r w:rsidR="00F7656C">
        <w:t>O.C.G.A. §§ 46-3-1 – 46-3-15.</w:t>
      </w:r>
    </w:p>
  </w:footnote>
  <w:footnote w:id="7">
    <w:p w14:paraId="3EB39F2C" w14:textId="5D01C12F" w:rsidR="0065063B" w:rsidRDefault="0065063B" w:rsidP="00D267CD">
      <w:pPr>
        <w:pStyle w:val="FootnoteText"/>
        <w:jc w:val="both"/>
      </w:pPr>
      <w:r>
        <w:rPr>
          <w:rStyle w:val="FootnoteReference"/>
        </w:rPr>
        <w:footnoteRef/>
      </w:r>
      <w:r>
        <w:t xml:space="preserve"> </w:t>
      </w:r>
      <w:r w:rsidR="00C41024" w:rsidRPr="00C41024">
        <w:rPr>
          <w:i/>
          <w:iCs/>
        </w:rPr>
        <w:t>Georgia Chamber Celebrates Georgia’s Unprecedented Eleven-Year Streak as Number One State to Do Business</w:t>
      </w:r>
      <w:r w:rsidR="00C41024">
        <w:rPr>
          <w:i/>
          <w:iCs/>
        </w:rPr>
        <w:t xml:space="preserve">, </w:t>
      </w:r>
      <w:r w:rsidR="00C41024">
        <w:t xml:space="preserve">Georgia Chamber of Commerce (September 13, 2024), </w:t>
      </w:r>
      <w:r w:rsidR="00282B6F" w:rsidRPr="00282B6F">
        <w:t>https://www.gachamber.com/news/georgia-chamber-celebrates-georgias-unprecedented-eleven-year-streak-as-number-one-state-to-do-business/</w:t>
      </w:r>
      <w:r w:rsidR="00C41024">
        <w:t>.</w:t>
      </w:r>
    </w:p>
  </w:footnote>
  <w:footnote w:id="8">
    <w:p w14:paraId="000EF773" w14:textId="6A98C079" w:rsidR="00AA59C4" w:rsidRDefault="00AA59C4" w:rsidP="00D267CD">
      <w:pPr>
        <w:pStyle w:val="FootnoteText"/>
        <w:jc w:val="both"/>
      </w:pPr>
      <w:r>
        <w:rPr>
          <w:rStyle w:val="FootnoteReference"/>
        </w:rPr>
        <w:footnoteRef/>
      </w:r>
      <w:r>
        <w:t xml:space="preserve"> </w:t>
      </w:r>
      <w:r w:rsidRPr="00CE6733">
        <w:rPr>
          <w:lang w:val="x-none" w:eastAsia="en-US"/>
        </w:rPr>
        <w:t xml:space="preserve">286 Ga. App. </w:t>
      </w:r>
      <w:r w:rsidRPr="00B81186">
        <w:rPr>
          <w:lang w:val="x-none" w:eastAsia="en-US"/>
        </w:rPr>
        <w:t>646, 650 (2007</w:t>
      </w:r>
      <w:r w:rsidRPr="00CE6733">
        <w:rPr>
          <w:lang w:val="x-none" w:eastAsia="en-US"/>
        </w:rPr>
        <w:t>)</w:t>
      </w:r>
      <w:r w:rsidR="006E37D4">
        <w:rPr>
          <w:lang w:val="x-none" w:eastAsia="en-US"/>
        </w:rPr>
        <w:t xml:space="preserve"> (determining that a lawyer and podiatrist were not in the same field and therefore not competitors)</w:t>
      </w:r>
      <w:r w:rsidRPr="00CE6733">
        <w:rPr>
          <w:lang w:val="x-none" w:eastAsia="en-US"/>
        </w:rPr>
        <w:t>.</w:t>
      </w:r>
      <w:r>
        <w:rPr>
          <w:lang w:eastAsia="en-US"/>
        </w:rPr>
        <w:t xml:space="preserve"> </w:t>
      </w:r>
    </w:p>
  </w:footnote>
  <w:footnote w:id="9">
    <w:p w14:paraId="192098A0" w14:textId="61BC4AFA" w:rsidR="00EE7B60" w:rsidRPr="00EE7B60" w:rsidRDefault="00EE7B60" w:rsidP="00D267CD">
      <w:pPr>
        <w:pStyle w:val="FootnoteText"/>
        <w:jc w:val="both"/>
      </w:pPr>
      <w:r>
        <w:rPr>
          <w:rStyle w:val="FootnoteReference"/>
        </w:rPr>
        <w:footnoteRef/>
      </w:r>
      <w:r>
        <w:t xml:space="preserve"> </w:t>
      </w:r>
      <w:r>
        <w:rPr>
          <w:i/>
          <w:iCs/>
        </w:rPr>
        <w:t>Id.</w:t>
      </w:r>
    </w:p>
  </w:footnote>
  <w:footnote w:id="10">
    <w:p w14:paraId="0E465054" w14:textId="77777777" w:rsidR="00546944" w:rsidRDefault="00546944" w:rsidP="00D267CD">
      <w:pPr>
        <w:pStyle w:val="FootnoteText"/>
        <w:jc w:val="both"/>
      </w:pPr>
      <w:r>
        <w:rPr>
          <w:rStyle w:val="FootnoteReference"/>
        </w:rPr>
        <w:footnoteRef/>
      </w:r>
      <w:r>
        <w:t xml:space="preserve"> </w:t>
      </w:r>
      <w:r w:rsidRPr="001561A4">
        <w:rPr>
          <w:lang w:val="x-none" w:eastAsia="en-US"/>
        </w:rPr>
        <w:t>O.C.G.A. § 10-1-761(4)</w:t>
      </w:r>
      <w:r>
        <w:rPr>
          <w:lang w:val="x-none" w:eastAsia="en-US"/>
        </w:rPr>
        <w:t>.</w:t>
      </w:r>
    </w:p>
  </w:footnote>
  <w:footnote w:id="11">
    <w:p w14:paraId="7ADB553F" w14:textId="086D6D4A" w:rsidR="009C31FC" w:rsidRDefault="009C31FC" w:rsidP="00EB5576">
      <w:pPr>
        <w:pStyle w:val="FootnoteText"/>
        <w:jc w:val="both"/>
      </w:pPr>
      <w:r>
        <w:rPr>
          <w:rStyle w:val="FootnoteReference"/>
        </w:rPr>
        <w:footnoteRef/>
      </w:r>
      <w:r>
        <w:t xml:space="preserve"> </w:t>
      </w:r>
      <w:r w:rsidRPr="000E20FB">
        <w:rPr>
          <w:i/>
          <w:iCs/>
          <w:lang w:eastAsia="en-US"/>
        </w:rPr>
        <w:t xml:space="preserve">See </w:t>
      </w:r>
      <w:r w:rsidRPr="000E20FB">
        <w:rPr>
          <w:lang w:eastAsia="en-US"/>
        </w:rPr>
        <w:t>Commission Rule 515-3-4-.04(3)(d), (e)(2).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970DB"/>
    <w:multiLevelType w:val="hybridMultilevel"/>
    <w:tmpl w:val="9112E50E"/>
    <w:lvl w:ilvl="0" w:tplc="B07C09B8">
      <w:start w:val="1"/>
      <w:numFmt w:val="bullet"/>
      <w:lvlText w:val=""/>
      <w:lvlJc w:val="left"/>
      <w:pPr>
        <w:ind w:left="1440" w:hanging="360"/>
      </w:pPr>
      <w:rPr>
        <w:rFonts w:ascii="Symbol" w:hAnsi="Symbol" w:hint="default"/>
      </w:rPr>
    </w:lvl>
    <w:lvl w:ilvl="1" w:tplc="48E4AB98" w:tentative="1">
      <w:start w:val="1"/>
      <w:numFmt w:val="bullet"/>
      <w:lvlText w:val="o"/>
      <w:lvlJc w:val="left"/>
      <w:pPr>
        <w:ind w:left="2160" w:hanging="360"/>
      </w:pPr>
      <w:rPr>
        <w:rFonts w:ascii="Courier New" w:hAnsi="Courier New" w:cs="Courier New" w:hint="default"/>
      </w:rPr>
    </w:lvl>
    <w:lvl w:ilvl="2" w:tplc="81D68B7C" w:tentative="1">
      <w:start w:val="1"/>
      <w:numFmt w:val="bullet"/>
      <w:lvlText w:val=""/>
      <w:lvlJc w:val="left"/>
      <w:pPr>
        <w:ind w:left="2880" w:hanging="360"/>
      </w:pPr>
      <w:rPr>
        <w:rFonts w:ascii="Wingdings" w:hAnsi="Wingdings" w:hint="default"/>
      </w:rPr>
    </w:lvl>
    <w:lvl w:ilvl="3" w:tplc="77D83F74" w:tentative="1">
      <w:start w:val="1"/>
      <w:numFmt w:val="bullet"/>
      <w:lvlText w:val=""/>
      <w:lvlJc w:val="left"/>
      <w:pPr>
        <w:ind w:left="3600" w:hanging="360"/>
      </w:pPr>
      <w:rPr>
        <w:rFonts w:ascii="Symbol" w:hAnsi="Symbol" w:hint="default"/>
      </w:rPr>
    </w:lvl>
    <w:lvl w:ilvl="4" w:tplc="97F62712" w:tentative="1">
      <w:start w:val="1"/>
      <w:numFmt w:val="bullet"/>
      <w:lvlText w:val="o"/>
      <w:lvlJc w:val="left"/>
      <w:pPr>
        <w:ind w:left="4320" w:hanging="360"/>
      </w:pPr>
      <w:rPr>
        <w:rFonts w:ascii="Courier New" w:hAnsi="Courier New" w:cs="Courier New" w:hint="default"/>
      </w:rPr>
    </w:lvl>
    <w:lvl w:ilvl="5" w:tplc="5CF6AF98" w:tentative="1">
      <w:start w:val="1"/>
      <w:numFmt w:val="bullet"/>
      <w:lvlText w:val=""/>
      <w:lvlJc w:val="left"/>
      <w:pPr>
        <w:ind w:left="5040" w:hanging="360"/>
      </w:pPr>
      <w:rPr>
        <w:rFonts w:ascii="Wingdings" w:hAnsi="Wingdings" w:hint="default"/>
      </w:rPr>
    </w:lvl>
    <w:lvl w:ilvl="6" w:tplc="EB8AC416" w:tentative="1">
      <w:start w:val="1"/>
      <w:numFmt w:val="bullet"/>
      <w:lvlText w:val=""/>
      <w:lvlJc w:val="left"/>
      <w:pPr>
        <w:ind w:left="5760" w:hanging="360"/>
      </w:pPr>
      <w:rPr>
        <w:rFonts w:ascii="Symbol" w:hAnsi="Symbol" w:hint="default"/>
      </w:rPr>
    </w:lvl>
    <w:lvl w:ilvl="7" w:tplc="F8AC765E" w:tentative="1">
      <w:start w:val="1"/>
      <w:numFmt w:val="bullet"/>
      <w:lvlText w:val="o"/>
      <w:lvlJc w:val="left"/>
      <w:pPr>
        <w:ind w:left="6480" w:hanging="360"/>
      </w:pPr>
      <w:rPr>
        <w:rFonts w:ascii="Courier New" w:hAnsi="Courier New" w:cs="Courier New" w:hint="default"/>
      </w:rPr>
    </w:lvl>
    <w:lvl w:ilvl="8" w:tplc="7584A47A" w:tentative="1">
      <w:start w:val="1"/>
      <w:numFmt w:val="bullet"/>
      <w:lvlText w:val=""/>
      <w:lvlJc w:val="left"/>
      <w:pPr>
        <w:ind w:left="7200" w:hanging="360"/>
      </w:pPr>
      <w:rPr>
        <w:rFonts w:ascii="Wingdings" w:hAnsi="Wingdings" w:hint="default"/>
      </w:rPr>
    </w:lvl>
  </w:abstractNum>
  <w:abstractNum w:abstractNumId="1" w15:restartNumberingAfterBreak="0">
    <w:nsid w:val="11215145"/>
    <w:multiLevelType w:val="hybridMultilevel"/>
    <w:tmpl w:val="25FCA88E"/>
    <w:lvl w:ilvl="0" w:tplc="77A2F962">
      <w:start w:val="1"/>
      <w:numFmt w:val="bullet"/>
      <w:lvlText w:val="-"/>
      <w:lvlJc w:val="left"/>
      <w:pPr>
        <w:ind w:left="720" w:hanging="360"/>
      </w:pPr>
      <w:rPr>
        <w:rFonts w:ascii="Times New Roman" w:eastAsia="SimSun" w:hAnsi="Times New Roman" w:cs="Times New Roman" w:hint="default"/>
      </w:rPr>
    </w:lvl>
    <w:lvl w:ilvl="1" w:tplc="D2D6D118" w:tentative="1">
      <w:start w:val="1"/>
      <w:numFmt w:val="bullet"/>
      <w:lvlText w:val="o"/>
      <w:lvlJc w:val="left"/>
      <w:pPr>
        <w:ind w:left="1440" w:hanging="360"/>
      </w:pPr>
      <w:rPr>
        <w:rFonts w:ascii="Courier New" w:hAnsi="Courier New" w:cs="Courier New" w:hint="default"/>
      </w:rPr>
    </w:lvl>
    <w:lvl w:ilvl="2" w:tplc="46B27D50" w:tentative="1">
      <w:start w:val="1"/>
      <w:numFmt w:val="bullet"/>
      <w:lvlText w:val=""/>
      <w:lvlJc w:val="left"/>
      <w:pPr>
        <w:ind w:left="2160" w:hanging="360"/>
      </w:pPr>
      <w:rPr>
        <w:rFonts w:ascii="Wingdings" w:hAnsi="Wingdings" w:hint="default"/>
      </w:rPr>
    </w:lvl>
    <w:lvl w:ilvl="3" w:tplc="D152CFFC" w:tentative="1">
      <w:start w:val="1"/>
      <w:numFmt w:val="bullet"/>
      <w:lvlText w:val=""/>
      <w:lvlJc w:val="left"/>
      <w:pPr>
        <w:ind w:left="2880" w:hanging="360"/>
      </w:pPr>
      <w:rPr>
        <w:rFonts w:ascii="Symbol" w:hAnsi="Symbol" w:hint="default"/>
      </w:rPr>
    </w:lvl>
    <w:lvl w:ilvl="4" w:tplc="6CD22F06" w:tentative="1">
      <w:start w:val="1"/>
      <w:numFmt w:val="bullet"/>
      <w:lvlText w:val="o"/>
      <w:lvlJc w:val="left"/>
      <w:pPr>
        <w:ind w:left="3600" w:hanging="360"/>
      </w:pPr>
      <w:rPr>
        <w:rFonts w:ascii="Courier New" w:hAnsi="Courier New" w:cs="Courier New" w:hint="default"/>
      </w:rPr>
    </w:lvl>
    <w:lvl w:ilvl="5" w:tplc="5EB822DE" w:tentative="1">
      <w:start w:val="1"/>
      <w:numFmt w:val="bullet"/>
      <w:lvlText w:val=""/>
      <w:lvlJc w:val="left"/>
      <w:pPr>
        <w:ind w:left="4320" w:hanging="360"/>
      </w:pPr>
      <w:rPr>
        <w:rFonts w:ascii="Wingdings" w:hAnsi="Wingdings" w:hint="default"/>
      </w:rPr>
    </w:lvl>
    <w:lvl w:ilvl="6" w:tplc="1422DD06" w:tentative="1">
      <w:start w:val="1"/>
      <w:numFmt w:val="bullet"/>
      <w:lvlText w:val=""/>
      <w:lvlJc w:val="left"/>
      <w:pPr>
        <w:ind w:left="5040" w:hanging="360"/>
      </w:pPr>
      <w:rPr>
        <w:rFonts w:ascii="Symbol" w:hAnsi="Symbol" w:hint="default"/>
      </w:rPr>
    </w:lvl>
    <w:lvl w:ilvl="7" w:tplc="C9CC2B4A" w:tentative="1">
      <w:start w:val="1"/>
      <w:numFmt w:val="bullet"/>
      <w:lvlText w:val="o"/>
      <w:lvlJc w:val="left"/>
      <w:pPr>
        <w:ind w:left="5760" w:hanging="360"/>
      </w:pPr>
      <w:rPr>
        <w:rFonts w:ascii="Courier New" w:hAnsi="Courier New" w:cs="Courier New" w:hint="default"/>
      </w:rPr>
    </w:lvl>
    <w:lvl w:ilvl="8" w:tplc="361E7A16" w:tentative="1">
      <w:start w:val="1"/>
      <w:numFmt w:val="bullet"/>
      <w:lvlText w:val=""/>
      <w:lvlJc w:val="left"/>
      <w:pPr>
        <w:ind w:left="6480" w:hanging="360"/>
      </w:pPr>
      <w:rPr>
        <w:rFonts w:ascii="Wingdings" w:hAnsi="Wingdings" w:hint="default"/>
      </w:rPr>
    </w:lvl>
  </w:abstractNum>
  <w:abstractNum w:abstractNumId="2" w15:restartNumberingAfterBreak="0">
    <w:nsid w:val="12AD3147"/>
    <w:multiLevelType w:val="hybridMultilevel"/>
    <w:tmpl w:val="5ADAD12A"/>
    <w:lvl w:ilvl="0" w:tplc="3446C290">
      <w:start w:val="1"/>
      <w:numFmt w:val="bullet"/>
      <w:lvlText w:val=""/>
      <w:lvlJc w:val="left"/>
      <w:pPr>
        <w:ind w:left="1440" w:hanging="360"/>
      </w:pPr>
      <w:rPr>
        <w:rFonts w:ascii="Symbol" w:hAnsi="Symbol" w:hint="default"/>
      </w:rPr>
    </w:lvl>
    <w:lvl w:ilvl="1" w:tplc="C3C84FD2">
      <w:start w:val="1"/>
      <w:numFmt w:val="bullet"/>
      <w:lvlText w:val="o"/>
      <w:lvlJc w:val="left"/>
      <w:pPr>
        <w:ind w:left="2160" w:hanging="360"/>
      </w:pPr>
      <w:rPr>
        <w:rFonts w:ascii="Courier New" w:hAnsi="Courier New" w:cs="Courier New" w:hint="default"/>
      </w:rPr>
    </w:lvl>
    <w:lvl w:ilvl="2" w:tplc="94CCC756" w:tentative="1">
      <w:start w:val="1"/>
      <w:numFmt w:val="bullet"/>
      <w:lvlText w:val=""/>
      <w:lvlJc w:val="left"/>
      <w:pPr>
        <w:ind w:left="2880" w:hanging="360"/>
      </w:pPr>
      <w:rPr>
        <w:rFonts w:ascii="Wingdings" w:hAnsi="Wingdings" w:hint="default"/>
      </w:rPr>
    </w:lvl>
    <w:lvl w:ilvl="3" w:tplc="DFBEFF2A" w:tentative="1">
      <w:start w:val="1"/>
      <w:numFmt w:val="bullet"/>
      <w:lvlText w:val=""/>
      <w:lvlJc w:val="left"/>
      <w:pPr>
        <w:ind w:left="3600" w:hanging="360"/>
      </w:pPr>
      <w:rPr>
        <w:rFonts w:ascii="Symbol" w:hAnsi="Symbol" w:hint="default"/>
      </w:rPr>
    </w:lvl>
    <w:lvl w:ilvl="4" w:tplc="B6C8C216" w:tentative="1">
      <w:start w:val="1"/>
      <w:numFmt w:val="bullet"/>
      <w:lvlText w:val="o"/>
      <w:lvlJc w:val="left"/>
      <w:pPr>
        <w:ind w:left="4320" w:hanging="360"/>
      </w:pPr>
      <w:rPr>
        <w:rFonts w:ascii="Courier New" w:hAnsi="Courier New" w:cs="Courier New" w:hint="default"/>
      </w:rPr>
    </w:lvl>
    <w:lvl w:ilvl="5" w:tplc="51FA6182" w:tentative="1">
      <w:start w:val="1"/>
      <w:numFmt w:val="bullet"/>
      <w:lvlText w:val=""/>
      <w:lvlJc w:val="left"/>
      <w:pPr>
        <w:ind w:left="5040" w:hanging="360"/>
      </w:pPr>
      <w:rPr>
        <w:rFonts w:ascii="Wingdings" w:hAnsi="Wingdings" w:hint="default"/>
      </w:rPr>
    </w:lvl>
    <w:lvl w:ilvl="6" w:tplc="3BE2AF2A" w:tentative="1">
      <w:start w:val="1"/>
      <w:numFmt w:val="bullet"/>
      <w:lvlText w:val=""/>
      <w:lvlJc w:val="left"/>
      <w:pPr>
        <w:ind w:left="5760" w:hanging="360"/>
      </w:pPr>
      <w:rPr>
        <w:rFonts w:ascii="Symbol" w:hAnsi="Symbol" w:hint="default"/>
      </w:rPr>
    </w:lvl>
    <w:lvl w:ilvl="7" w:tplc="7794E824" w:tentative="1">
      <w:start w:val="1"/>
      <w:numFmt w:val="bullet"/>
      <w:lvlText w:val="o"/>
      <w:lvlJc w:val="left"/>
      <w:pPr>
        <w:ind w:left="6480" w:hanging="360"/>
      </w:pPr>
      <w:rPr>
        <w:rFonts w:ascii="Courier New" w:hAnsi="Courier New" w:cs="Courier New" w:hint="default"/>
      </w:rPr>
    </w:lvl>
    <w:lvl w:ilvl="8" w:tplc="3F285F42" w:tentative="1">
      <w:start w:val="1"/>
      <w:numFmt w:val="bullet"/>
      <w:lvlText w:val=""/>
      <w:lvlJc w:val="left"/>
      <w:pPr>
        <w:ind w:left="7200" w:hanging="360"/>
      </w:pPr>
      <w:rPr>
        <w:rFonts w:ascii="Wingdings" w:hAnsi="Wingdings" w:hint="default"/>
      </w:rPr>
    </w:lvl>
  </w:abstractNum>
  <w:abstractNum w:abstractNumId="3" w15:restartNumberingAfterBreak="0">
    <w:nsid w:val="143F5976"/>
    <w:multiLevelType w:val="hybridMultilevel"/>
    <w:tmpl w:val="7D722428"/>
    <w:lvl w:ilvl="0" w:tplc="6EB82B70">
      <w:start w:val="1"/>
      <w:numFmt w:val="bullet"/>
      <w:lvlText w:val=""/>
      <w:lvlJc w:val="left"/>
      <w:pPr>
        <w:ind w:left="720" w:hanging="360"/>
      </w:pPr>
      <w:rPr>
        <w:rFonts w:ascii="Symbol" w:hAnsi="Symbol" w:hint="default"/>
      </w:rPr>
    </w:lvl>
    <w:lvl w:ilvl="1" w:tplc="AC640F46" w:tentative="1">
      <w:start w:val="1"/>
      <w:numFmt w:val="bullet"/>
      <w:lvlText w:val="o"/>
      <w:lvlJc w:val="left"/>
      <w:pPr>
        <w:ind w:left="1440" w:hanging="360"/>
      </w:pPr>
      <w:rPr>
        <w:rFonts w:ascii="Courier New" w:hAnsi="Courier New" w:cs="Courier New" w:hint="default"/>
      </w:rPr>
    </w:lvl>
    <w:lvl w:ilvl="2" w:tplc="50A667CC">
      <w:start w:val="1"/>
      <w:numFmt w:val="bullet"/>
      <w:lvlText w:val=""/>
      <w:lvlJc w:val="left"/>
      <w:pPr>
        <w:ind w:left="2160" w:hanging="360"/>
      </w:pPr>
      <w:rPr>
        <w:rFonts w:ascii="Wingdings" w:hAnsi="Wingdings" w:hint="default"/>
      </w:rPr>
    </w:lvl>
    <w:lvl w:ilvl="3" w:tplc="83D85912" w:tentative="1">
      <w:start w:val="1"/>
      <w:numFmt w:val="bullet"/>
      <w:lvlText w:val=""/>
      <w:lvlJc w:val="left"/>
      <w:pPr>
        <w:ind w:left="2880" w:hanging="360"/>
      </w:pPr>
      <w:rPr>
        <w:rFonts w:ascii="Symbol" w:hAnsi="Symbol" w:hint="default"/>
      </w:rPr>
    </w:lvl>
    <w:lvl w:ilvl="4" w:tplc="9162C520" w:tentative="1">
      <w:start w:val="1"/>
      <w:numFmt w:val="bullet"/>
      <w:lvlText w:val="o"/>
      <w:lvlJc w:val="left"/>
      <w:pPr>
        <w:ind w:left="3600" w:hanging="360"/>
      </w:pPr>
      <w:rPr>
        <w:rFonts w:ascii="Courier New" w:hAnsi="Courier New" w:cs="Courier New" w:hint="default"/>
      </w:rPr>
    </w:lvl>
    <w:lvl w:ilvl="5" w:tplc="CEECE180" w:tentative="1">
      <w:start w:val="1"/>
      <w:numFmt w:val="bullet"/>
      <w:lvlText w:val=""/>
      <w:lvlJc w:val="left"/>
      <w:pPr>
        <w:ind w:left="4320" w:hanging="360"/>
      </w:pPr>
      <w:rPr>
        <w:rFonts w:ascii="Wingdings" w:hAnsi="Wingdings" w:hint="default"/>
      </w:rPr>
    </w:lvl>
    <w:lvl w:ilvl="6" w:tplc="780E44FE" w:tentative="1">
      <w:start w:val="1"/>
      <w:numFmt w:val="bullet"/>
      <w:lvlText w:val=""/>
      <w:lvlJc w:val="left"/>
      <w:pPr>
        <w:ind w:left="5040" w:hanging="360"/>
      </w:pPr>
      <w:rPr>
        <w:rFonts w:ascii="Symbol" w:hAnsi="Symbol" w:hint="default"/>
      </w:rPr>
    </w:lvl>
    <w:lvl w:ilvl="7" w:tplc="1834C5BA" w:tentative="1">
      <w:start w:val="1"/>
      <w:numFmt w:val="bullet"/>
      <w:lvlText w:val="o"/>
      <w:lvlJc w:val="left"/>
      <w:pPr>
        <w:ind w:left="5760" w:hanging="360"/>
      </w:pPr>
      <w:rPr>
        <w:rFonts w:ascii="Courier New" w:hAnsi="Courier New" w:cs="Courier New" w:hint="default"/>
      </w:rPr>
    </w:lvl>
    <w:lvl w:ilvl="8" w:tplc="0E542854" w:tentative="1">
      <w:start w:val="1"/>
      <w:numFmt w:val="bullet"/>
      <w:lvlText w:val=""/>
      <w:lvlJc w:val="left"/>
      <w:pPr>
        <w:ind w:left="6480" w:hanging="360"/>
      </w:pPr>
      <w:rPr>
        <w:rFonts w:ascii="Wingdings" w:hAnsi="Wingdings" w:hint="default"/>
      </w:rPr>
    </w:lvl>
  </w:abstractNum>
  <w:abstractNum w:abstractNumId="4" w15:restartNumberingAfterBreak="0">
    <w:nsid w:val="1D6E3A91"/>
    <w:multiLevelType w:val="hybridMultilevel"/>
    <w:tmpl w:val="910E5DFA"/>
    <w:lvl w:ilvl="0" w:tplc="CC600C06">
      <w:start w:val="1"/>
      <w:numFmt w:val="decimal"/>
      <w:lvlText w:val="%1."/>
      <w:lvlJc w:val="left"/>
      <w:pPr>
        <w:ind w:left="1170" w:hanging="360"/>
      </w:pPr>
      <w:rPr>
        <w:rFonts w:hint="default"/>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3096182F"/>
    <w:multiLevelType w:val="hybridMultilevel"/>
    <w:tmpl w:val="A93835F2"/>
    <w:lvl w:ilvl="0" w:tplc="D92AE190">
      <w:start w:val="1"/>
      <w:numFmt w:val="bullet"/>
      <w:lvlText w:val="-"/>
      <w:lvlJc w:val="left"/>
      <w:pPr>
        <w:ind w:left="720" w:hanging="360"/>
      </w:pPr>
      <w:rPr>
        <w:rFonts w:ascii="Times New Roman" w:eastAsia="SimSun" w:hAnsi="Times New Roman" w:cs="Times New Roman" w:hint="default"/>
      </w:rPr>
    </w:lvl>
    <w:lvl w:ilvl="1" w:tplc="E0DE2C8C" w:tentative="1">
      <w:start w:val="1"/>
      <w:numFmt w:val="bullet"/>
      <w:lvlText w:val="o"/>
      <w:lvlJc w:val="left"/>
      <w:pPr>
        <w:ind w:left="1440" w:hanging="360"/>
      </w:pPr>
      <w:rPr>
        <w:rFonts w:ascii="Courier New" w:hAnsi="Courier New" w:cs="Courier New" w:hint="default"/>
      </w:rPr>
    </w:lvl>
    <w:lvl w:ilvl="2" w:tplc="70365830" w:tentative="1">
      <w:start w:val="1"/>
      <w:numFmt w:val="bullet"/>
      <w:lvlText w:val=""/>
      <w:lvlJc w:val="left"/>
      <w:pPr>
        <w:ind w:left="2160" w:hanging="360"/>
      </w:pPr>
      <w:rPr>
        <w:rFonts w:ascii="Wingdings" w:hAnsi="Wingdings" w:hint="default"/>
      </w:rPr>
    </w:lvl>
    <w:lvl w:ilvl="3" w:tplc="A92EE3F4" w:tentative="1">
      <w:start w:val="1"/>
      <w:numFmt w:val="bullet"/>
      <w:lvlText w:val=""/>
      <w:lvlJc w:val="left"/>
      <w:pPr>
        <w:ind w:left="2880" w:hanging="360"/>
      </w:pPr>
      <w:rPr>
        <w:rFonts w:ascii="Symbol" w:hAnsi="Symbol" w:hint="default"/>
      </w:rPr>
    </w:lvl>
    <w:lvl w:ilvl="4" w:tplc="BAA6FE52" w:tentative="1">
      <w:start w:val="1"/>
      <w:numFmt w:val="bullet"/>
      <w:lvlText w:val="o"/>
      <w:lvlJc w:val="left"/>
      <w:pPr>
        <w:ind w:left="3600" w:hanging="360"/>
      </w:pPr>
      <w:rPr>
        <w:rFonts w:ascii="Courier New" w:hAnsi="Courier New" w:cs="Courier New" w:hint="default"/>
      </w:rPr>
    </w:lvl>
    <w:lvl w:ilvl="5" w:tplc="49A23230" w:tentative="1">
      <w:start w:val="1"/>
      <w:numFmt w:val="bullet"/>
      <w:lvlText w:val=""/>
      <w:lvlJc w:val="left"/>
      <w:pPr>
        <w:ind w:left="4320" w:hanging="360"/>
      </w:pPr>
      <w:rPr>
        <w:rFonts w:ascii="Wingdings" w:hAnsi="Wingdings" w:hint="default"/>
      </w:rPr>
    </w:lvl>
    <w:lvl w:ilvl="6" w:tplc="B394BB92" w:tentative="1">
      <w:start w:val="1"/>
      <w:numFmt w:val="bullet"/>
      <w:lvlText w:val=""/>
      <w:lvlJc w:val="left"/>
      <w:pPr>
        <w:ind w:left="5040" w:hanging="360"/>
      </w:pPr>
      <w:rPr>
        <w:rFonts w:ascii="Symbol" w:hAnsi="Symbol" w:hint="default"/>
      </w:rPr>
    </w:lvl>
    <w:lvl w:ilvl="7" w:tplc="4080F2B8" w:tentative="1">
      <w:start w:val="1"/>
      <w:numFmt w:val="bullet"/>
      <w:lvlText w:val="o"/>
      <w:lvlJc w:val="left"/>
      <w:pPr>
        <w:ind w:left="5760" w:hanging="360"/>
      </w:pPr>
      <w:rPr>
        <w:rFonts w:ascii="Courier New" w:hAnsi="Courier New" w:cs="Courier New" w:hint="default"/>
      </w:rPr>
    </w:lvl>
    <w:lvl w:ilvl="8" w:tplc="2982CD72" w:tentative="1">
      <w:start w:val="1"/>
      <w:numFmt w:val="bullet"/>
      <w:lvlText w:val=""/>
      <w:lvlJc w:val="left"/>
      <w:pPr>
        <w:ind w:left="6480" w:hanging="360"/>
      </w:pPr>
      <w:rPr>
        <w:rFonts w:ascii="Wingdings" w:hAnsi="Wingdings" w:hint="default"/>
      </w:rPr>
    </w:lvl>
  </w:abstractNum>
  <w:abstractNum w:abstractNumId="6" w15:restartNumberingAfterBreak="0">
    <w:nsid w:val="31106AED"/>
    <w:multiLevelType w:val="hybridMultilevel"/>
    <w:tmpl w:val="F4E6A80A"/>
    <w:lvl w:ilvl="0" w:tplc="72CC9FB0">
      <w:start w:val="1"/>
      <w:numFmt w:val="bullet"/>
      <w:lvlText w:val=""/>
      <w:lvlJc w:val="left"/>
      <w:pPr>
        <w:ind w:left="360" w:hanging="360"/>
      </w:pPr>
      <w:rPr>
        <w:rFonts w:ascii="Symbol" w:hAnsi="Symbol" w:hint="default"/>
      </w:rPr>
    </w:lvl>
    <w:lvl w:ilvl="1" w:tplc="AD3EC0E6">
      <w:start w:val="1"/>
      <w:numFmt w:val="bullet"/>
      <w:lvlText w:val="o"/>
      <w:lvlJc w:val="left"/>
      <w:pPr>
        <w:ind w:left="1080" w:hanging="360"/>
      </w:pPr>
      <w:rPr>
        <w:rFonts w:ascii="Courier New" w:hAnsi="Courier New" w:cs="Courier New" w:hint="default"/>
      </w:rPr>
    </w:lvl>
    <w:lvl w:ilvl="2" w:tplc="C4E2B8DA" w:tentative="1">
      <w:start w:val="1"/>
      <w:numFmt w:val="bullet"/>
      <w:lvlText w:val=""/>
      <w:lvlJc w:val="left"/>
      <w:pPr>
        <w:ind w:left="1800" w:hanging="360"/>
      </w:pPr>
      <w:rPr>
        <w:rFonts w:ascii="Wingdings" w:hAnsi="Wingdings" w:hint="default"/>
      </w:rPr>
    </w:lvl>
    <w:lvl w:ilvl="3" w:tplc="3CF047EC" w:tentative="1">
      <w:start w:val="1"/>
      <w:numFmt w:val="bullet"/>
      <w:lvlText w:val=""/>
      <w:lvlJc w:val="left"/>
      <w:pPr>
        <w:ind w:left="2520" w:hanging="360"/>
      </w:pPr>
      <w:rPr>
        <w:rFonts w:ascii="Symbol" w:hAnsi="Symbol" w:hint="default"/>
      </w:rPr>
    </w:lvl>
    <w:lvl w:ilvl="4" w:tplc="A78C2F24" w:tentative="1">
      <w:start w:val="1"/>
      <w:numFmt w:val="bullet"/>
      <w:lvlText w:val="o"/>
      <w:lvlJc w:val="left"/>
      <w:pPr>
        <w:ind w:left="3240" w:hanging="360"/>
      </w:pPr>
      <w:rPr>
        <w:rFonts w:ascii="Courier New" w:hAnsi="Courier New" w:cs="Courier New" w:hint="default"/>
      </w:rPr>
    </w:lvl>
    <w:lvl w:ilvl="5" w:tplc="E9E0E70C" w:tentative="1">
      <w:start w:val="1"/>
      <w:numFmt w:val="bullet"/>
      <w:lvlText w:val=""/>
      <w:lvlJc w:val="left"/>
      <w:pPr>
        <w:ind w:left="3960" w:hanging="360"/>
      </w:pPr>
      <w:rPr>
        <w:rFonts w:ascii="Wingdings" w:hAnsi="Wingdings" w:hint="default"/>
      </w:rPr>
    </w:lvl>
    <w:lvl w:ilvl="6" w:tplc="45B49F6C" w:tentative="1">
      <w:start w:val="1"/>
      <w:numFmt w:val="bullet"/>
      <w:lvlText w:val=""/>
      <w:lvlJc w:val="left"/>
      <w:pPr>
        <w:ind w:left="4680" w:hanging="360"/>
      </w:pPr>
      <w:rPr>
        <w:rFonts w:ascii="Symbol" w:hAnsi="Symbol" w:hint="default"/>
      </w:rPr>
    </w:lvl>
    <w:lvl w:ilvl="7" w:tplc="A3E29906" w:tentative="1">
      <w:start w:val="1"/>
      <w:numFmt w:val="bullet"/>
      <w:lvlText w:val="o"/>
      <w:lvlJc w:val="left"/>
      <w:pPr>
        <w:ind w:left="5400" w:hanging="360"/>
      </w:pPr>
      <w:rPr>
        <w:rFonts w:ascii="Courier New" w:hAnsi="Courier New" w:cs="Courier New" w:hint="default"/>
      </w:rPr>
    </w:lvl>
    <w:lvl w:ilvl="8" w:tplc="18A48D10" w:tentative="1">
      <w:start w:val="1"/>
      <w:numFmt w:val="bullet"/>
      <w:lvlText w:val=""/>
      <w:lvlJc w:val="left"/>
      <w:pPr>
        <w:ind w:left="6120" w:hanging="360"/>
      </w:pPr>
      <w:rPr>
        <w:rFonts w:ascii="Wingdings" w:hAnsi="Wingdings" w:hint="default"/>
      </w:rPr>
    </w:lvl>
  </w:abstractNum>
  <w:abstractNum w:abstractNumId="7" w15:restartNumberingAfterBreak="0">
    <w:nsid w:val="3BE45BDD"/>
    <w:multiLevelType w:val="hybridMultilevel"/>
    <w:tmpl w:val="D32E4C8C"/>
    <w:lvl w:ilvl="0" w:tplc="B1243D08">
      <w:start w:val="1"/>
      <w:numFmt w:val="bullet"/>
      <w:lvlText w:val=""/>
      <w:lvlJc w:val="left"/>
      <w:pPr>
        <w:ind w:left="1440" w:hanging="360"/>
      </w:pPr>
      <w:rPr>
        <w:rFonts w:ascii="Symbol" w:hAnsi="Symbol" w:hint="default"/>
      </w:rPr>
    </w:lvl>
    <w:lvl w:ilvl="1" w:tplc="C9BE19B0" w:tentative="1">
      <w:start w:val="1"/>
      <w:numFmt w:val="bullet"/>
      <w:lvlText w:val="o"/>
      <w:lvlJc w:val="left"/>
      <w:pPr>
        <w:ind w:left="2160" w:hanging="360"/>
      </w:pPr>
      <w:rPr>
        <w:rFonts w:ascii="Courier New" w:hAnsi="Courier New" w:cs="Courier New" w:hint="default"/>
      </w:rPr>
    </w:lvl>
    <w:lvl w:ilvl="2" w:tplc="E0EE9D7E" w:tentative="1">
      <w:start w:val="1"/>
      <w:numFmt w:val="bullet"/>
      <w:lvlText w:val=""/>
      <w:lvlJc w:val="left"/>
      <w:pPr>
        <w:ind w:left="2880" w:hanging="360"/>
      </w:pPr>
      <w:rPr>
        <w:rFonts w:ascii="Wingdings" w:hAnsi="Wingdings" w:hint="default"/>
      </w:rPr>
    </w:lvl>
    <w:lvl w:ilvl="3" w:tplc="6C2E8CE0" w:tentative="1">
      <w:start w:val="1"/>
      <w:numFmt w:val="bullet"/>
      <w:lvlText w:val=""/>
      <w:lvlJc w:val="left"/>
      <w:pPr>
        <w:ind w:left="3600" w:hanging="360"/>
      </w:pPr>
      <w:rPr>
        <w:rFonts w:ascii="Symbol" w:hAnsi="Symbol" w:hint="default"/>
      </w:rPr>
    </w:lvl>
    <w:lvl w:ilvl="4" w:tplc="18AE3810" w:tentative="1">
      <w:start w:val="1"/>
      <w:numFmt w:val="bullet"/>
      <w:lvlText w:val="o"/>
      <w:lvlJc w:val="left"/>
      <w:pPr>
        <w:ind w:left="4320" w:hanging="360"/>
      </w:pPr>
      <w:rPr>
        <w:rFonts w:ascii="Courier New" w:hAnsi="Courier New" w:cs="Courier New" w:hint="default"/>
      </w:rPr>
    </w:lvl>
    <w:lvl w:ilvl="5" w:tplc="2D686B68" w:tentative="1">
      <w:start w:val="1"/>
      <w:numFmt w:val="bullet"/>
      <w:lvlText w:val=""/>
      <w:lvlJc w:val="left"/>
      <w:pPr>
        <w:ind w:left="5040" w:hanging="360"/>
      </w:pPr>
      <w:rPr>
        <w:rFonts w:ascii="Wingdings" w:hAnsi="Wingdings" w:hint="default"/>
      </w:rPr>
    </w:lvl>
    <w:lvl w:ilvl="6" w:tplc="F1FAB308" w:tentative="1">
      <w:start w:val="1"/>
      <w:numFmt w:val="bullet"/>
      <w:lvlText w:val=""/>
      <w:lvlJc w:val="left"/>
      <w:pPr>
        <w:ind w:left="5760" w:hanging="360"/>
      </w:pPr>
      <w:rPr>
        <w:rFonts w:ascii="Symbol" w:hAnsi="Symbol" w:hint="default"/>
      </w:rPr>
    </w:lvl>
    <w:lvl w:ilvl="7" w:tplc="E94A5BDC" w:tentative="1">
      <w:start w:val="1"/>
      <w:numFmt w:val="bullet"/>
      <w:lvlText w:val="o"/>
      <w:lvlJc w:val="left"/>
      <w:pPr>
        <w:ind w:left="6480" w:hanging="360"/>
      </w:pPr>
      <w:rPr>
        <w:rFonts w:ascii="Courier New" w:hAnsi="Courier New" w:cs="Courier New" w:hint="default"/>
      </w:rPr>
    </w:lvl>
    <w:lvl w:ilvl="8" w:tplc="8084CD30" w:tentative="1">
      <w:start w:val="1"/>
      <w:numFmt w:val="bullet"/>
      <w:lvlText w:val=""/>
      <w:lvlJc w:val="left"/>
      <w:pPr>
        <w:ind w:left="7200" w:hanging="360"/>
      </w:pPr>
      <w:rPr>
        <w:rFonts w:ascii="Wingdings" w:hAnsi="Wingdings" w:hint="default"/>
      </w:rPr>
    </w:lvl>
  </w:abstractNum>
  <w:abstractNum w:abstractNumId="8" w15:restartNumberingAfterBreak="0">
    <w:nsid w:val="3C8206E2"/>
    <w:multiLevelType w:val="hybridMultilevel"/>
    <w:tmpl w:val="7DA228C6"/>
    <w:lvl w:ilvl="0" w:tplc="C706B2F6">
      <w:start w:val="1"/>
      <w:numFmt w:val="bullet"/>
      <w:lvlText w:val=""/>
      <w:lvlJc w:val="left"/>
      <w:pPr>
        <w:ind w:left="720" w:hanging="360"/>
      </w:pPr>
      <w:rPr>
        <w:rFonts w:ascii="Symbol" w:hAnsi="Symbol" w:hint="default"/>
      </w:rPr>
    </w:lvl>
    <w:lvl w:ilvl="1" w:tplc="079EAFF2">
      <w:start w:val="1"/>
      <w:numFmt w:val="bullet"/>
      <w:lvlText w:val="o"/>
      <w:lvlJc w:val="left"/>
      <w:pPr>
        <w:ind w:left="1440" w:hanging="360"/>
      </w:pPr>
      <w:rPr>
        <w:rFonts w:ascii="Courier New" w:hAnsi="Courier New" w:cs="Courier New" w:hint="default"/>
      </w:rPr>
    </w:lvl>
    <w:lvl w:ilvl="2" w:tplc="7DB621D2">
      <w:start w:val="1"/>
      <w:numFmt w:val="bullet"/>
      <w:lvlText w:val=""/>
      <w:lvlJc w:val="left"/>
      <w:pPr>
        <w:ind w:left="2160" w:hanging="360"/>
      </w:pPr>
      <w:rPr>
        <w:rFonts w:ascii="Wingdings" w:hAnsi="Wingdings" w:hint="default"/>
      </w:rPr>
    </w:lvl>
    <w:lvl w:ilvl="3" w:tplc="BFE0AF4A">
      <w:start w:val="1"/>
      <w:numFmt w:val="bullet"/>
      <w:lvlText w:val=""/>
      <w:lvlJc w:val="left"/>
      <w:pPr>
        <w:ind w:left="2880" w:hanging="360"/>
      </w:pPr>
      <w:rPr>
        <w:rFonts w:ascii="Symbol" w:hAnsi="Symbol" w:hint="default"/>
      </w:rPr>
    </w:lvl>
    <w:lvl w:ilvl="4" w:tplc="44E67876">
      <w:start w:val="1"/>
      <w:numFmt w:val="bullet"/>
      <w:lvlText w:val="o"/>
      <w:lvlJc w:val="left"/>
      <w:pPr>
        <w:ind w:left="3600" w:hanging="360"/>
      </w:pPr>
      <w:rPr>
        <w:rFonts w:ascii="Courier New" w:hAnsi="Courier New" w:cs="Courier New" w:hint="default"/>
      </w:rPr>
    </w:lvl>
    <w:lvl w:ilvl="5" w:tplc="E9C4B5D0">
      <w:start w:val="1"/>
      <w:numFmt w:val="bullet"/>
      <w:lvlText w:val=""/>
      <w:lvlJc w:val="left"/>
      <w:pPr>
        <w:ind w:left="4320" w:hanging="360"/>
      </w:pPr>
      <w:rPr>
        <w:rFonts w:ascii="Wingdings" w:hAnsi="Wingdings" w:hint="default"/>
      </w:rPr>
    </w:lvl>
    <w:lvl w:ilvl="6" w:tplc="8C0AF9DC">
      <w:start w:val="1"/>
      <w:numFmt w:val="bullet"/>
      <w:lvlText w:val=""/>
      <w:lvlJc w:val="left"/>
      <w:pPr>
        <w:ind w:left="5040" w:hanging="360"/>
      </w:pPr>
      <w:rPr>
        <w:rFonts w:ascii="Symbol" w:hAnsi="Symbol" w:hint="default"/>
      </w:rPr>
    </w:lvl>
    <w:lvl w:ilvl="7" w:tplc="19985F6A">
      <w:start w:val="1"/>
      <w:numFmt w:val="bullet"/>
      <w:lvlText w:val="o"/>
      <w:lvlJc w:val="left"/>
      <w:pPr>
        <w:ind w:left="5760" w:hanging="360"/>
      </w:pPr>
      <w:rPr>
        <w:rFonts w:ascii="Courier New" w:hAnsi="Courier New" w:cs="Courier New" w:hint="default"/>
      </w:rPr>
    </w:lvl>
    <w:lvl w:ilvl="8" w:tplc="D126246E">
      <w:start w:val="1"/>
      <w:numFmt w:val="bullet"/>
      <w:lvlText w:val=""/>
      <w:lvlJc w:val="left"/>
      <w:pPr>
        <w:ind w:left="6480" w:hanging="360"/>
      </w:pPr>
      <w:rPr>
        <w:rFonts w:ascii="Wingdings" w:hAnsi="Wingdings" w:hint="default"/>
      </w:rPr>
    </w:lvl>
  </w:abstractNum>
  <w:abstractNum w:abstractNumId="9" w15:restartNumberingAfterBreak="0">
    <w:nsid w:val="3DDE3808"/>
    <w:multiLevelType w:val="hybridMultilevel"/>
    <w:tmpl w:val="86642666"/>
    <w:lvl w:ilvl="0" w:tplc="E8E4F49C">
      <w:start w:val="1"/>
      <w:numFmt w:val="bullet"/>
      <w:lvlText w:val=""/>
      <w:lvlJc w:val="left"/>
      <w:pPr>
        <w:ind w:left="1440" w:hanging="360"/>
      </w:pPr>
      <w:rPr>
        <w:rFonts w:ascii="Symbol" w:hAnsi="Symbol" w:hint="default"/>
      </w:rPr>
    </w:lvl>
    <w:lvl w:ilvl="1" w:tplc="9112DEEA" w:tentative="1">
      <w:start w:val="1"/>
      <w:numFmt w:val="bullet"/>
      <w:lvlText w:val="o"/>
      <w:lvlJc w:val="left"/>
      <w:pPr>
        <w:ind w:left="2160" w:hanging="360"/>
      </w:pPr>
      <w:rPr>
        <w:rFonts w:ascii="Courier New" w:hAnsi="Courier New" w:cs="Courier New" w:hint="default"/>
      </w:rPr>
    </w:lvl>
    <w:lvl w:ilvl="2" w:tplc="43126B4A" w:tentative="1">
      <w:start w:val="1"/>
      <w:numFmt w:val="bullet"/>
      <w:lvlText w:val=""/>
      <w:lvlJc w:val="left"/>
      <w:pPr>
        <w:ind w:left="2880" w:hanging="360"/>
      </w:pPr>
      <w:rPr>
        <w:rFonts w:ascii="Wingdings" w:hAnsi="Wingdings" w:hint="default"/>
      </w:rPr>
    </w:lvl>
    <w:lvl w:ilvl="3" w:tplc="82AC855C" w:tentative="1">
      <w:start w:val="1"/>
      <w:numFmt w:val="bullet"/>
      <w:lvlText w:val=""/>
      <w:lvlJc w:val="left"/>
      <w:pPr>
        <w:ind w:left="3600" w:hanging="360"/>
      </w:pPr>
      <w:rPr>
        <w:rFonts w:ascii="Symbol" w:hAnsi="Symbol" w:hint="default"/>
      </w:rPr>
    </w:lvl>
    <w:lvl w:ilvl="4" w:tplc="B5EA714C" w:tentative="1">
      <w:start w:val="1"/>
      <w:numFmt w:val="bullet"/>
      <w:lvlText w:val="o"/>
      <w:lvlJc w:val="left"/>
      <w:pPr>
        <w:ind w:left="4320" w:hanging="360"/>
      </w:pPr>
      <w:rPr>
        <w:rFonts w:ascii="Courier New" w:hAnsi="Courier New" w:cs="Courier New" w:hint="default"/>
      </w:rPr>
    </w:lvl>
    <w:lvl w:ilvl="5" w:tplc="FF4248B2" w:tentative="1">
      <w:start w:val="1"/>
      <w:numFmt w:val="bullet"/>
      <w:lvlText w:val=""/>
      <w:lvlJc w:val="left"/>
      <w:pPr>
        <w:ind w:left="5040" w:hanging="360"/>
      </w:pPr>
      <w:rPr>
        <w:rFonts w:ascii="Wingdings" w:hAnsi="Wingdings" w:hint="default"/>
      </w:rPr>
    </w:lvl>
    <w:lvl w:ilvl="6" w:tplc="3DDEECB8" w:tentative="1">
      <w:start w:val="1"/>
      <w:numFmt w:val="bullet"/>
      <w:lvlText w:val=""/>
      <w:lvlJc w:val="left"/>
      <w:pPr>
        <w:ind w:left="5760" w:hanging="360"/>
      </w:pPr>
      <w:rPr>
        <w:rFonts w:ascii="Symbol" w:hAnsi="Symbol" w:hint="default"/>
      </w:rPr>
    </w:lvl>
    <w:lvl w:ilvl="7" w:tplc="F6F0E1C2" w:tentative="1">
      <w:start w:val="1"/>
      <w:numFmt w:val="bullet"/>
      <w:lvlText w:val="o"/>
      <w:lvlJc w:val="left"/>
      <w:pPr>
        <w:ind w:left="6480" w:hanging="360"/>
      </w:pPr>
      <w:rPr>
        <w:rFonts w:ascii="Courier New" w:hAnsi="Courier New" w:cs="Courier New" w:hint="default"/>
      </w:rPr>
    </w:lvl>
    <w:lvl w:ilvl="8" w:tplc="85B61360" w:tentative="1">
      <w:start w:val="1"/>
      <w:numFmt w:val="bullet"/>
      <w:lvlText w:val=""/>
      <w:lvlJc w:val="left"/>
      <w:pPr>
        <w:ind w:left="7200" w:hanging="360"/>
      </w:pPr>
      <w:rPr>
        <w:rFonts w:ascii="Wingdings" w:hAnsi="Wingdings" w:hint="default"/>
      </w:rPr>
    </w:lvl>
  </w:abstractNum>
  <w:abstractNum w:abstractNumId="10" w15:restartNumberingAfterBreak="0">
    <w:nsid w:val="44EC488B"/>
    <w:multiLevelType w:val="hybridMultilevel"/>
    <w:tmpl w:val="A6A8243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A32413"/>
    <w:multiLevelType w:val="multilevel"/>
    <w:tmpl w:val="912E294A"/>
    <w:lvl w:ilvl="0">
      <w:start w:val="1"/>
      <w:numFmt w:val="none"/>
      <w:pStyle w:val="Answer1"/>
      <w:lvlText w:val="A.%1"/>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pStyle w:val="Answer2"/>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6E2D0D93"/>
    <w:multiLevelType w:val="multilevel"/>
    <w:tmpl w:val="C7745050"/>
    <w:lvl w:ilvl="0">
      <w:start w:val="1"/>
      <w:numFmt w:val="upperRoman"/>
      <w:pStyle w:val="OutlineL1"/>
      <w:lvlText w:val="%1."/>
      <w:lvlJc w:val="left"/>
      <w:pPr>
        <w:tabs>
          <w:tab w:val="num" w:pos="720"/>
        </w:tabs>
        <w:ind w:left="0" w:firstLine="0"/>
      </w:pPr>
      <w:rPr>
        <w:b/>
        <w:i w:val="0"/>
        <w:caps/>
        <w:smallCaps w:val="0"/>
        <w:u w:val="none"/>
      </w:rPr>
    </w:lvl>
    <w:lvl w:ilvl="1">
      <w:start w:val="1"/>
      <w:numFmt w:val="upperLetter"/>
      <w:pStyle w:val="OutlineL2"/>
      <w:lvlText w:val="%2."/>
      <w:lvlJc w:val="left"/>
      <w:pPr>
        <w:tabs>
          <w:tab w:val="num" w:pos="1440"/>
        </w:tabs>
        <w:ind w:left="0" w:firstLine="720"/>
      </w:pPr>
      <w:rPr>
        <w:rFonts w:ascii="Times New Roman" w:hAnsi="Times New Roman" w:cs="Times New Roman"/>
        <w:b/>
        <w:bCs w:val="0"/>
        <w:i w:val="0"/>
        <w:iCs w:val="0"/>
        <w:caps w:val="0"/>
        <w:smallCaps w:val="0"/>
        <w:strike w:val="0"/>
        <w:dstrike w:val="0"/>
        <w:noProof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OutlineL3"/>
      <w:lvlText w:val="%3."/>
      <w:lvlJc w:val="left"/>
      <w:pPr>
        <w:tabs>
          <w:tab w:val="num" w:pos="2160"/>
        </w:tabs>
        <w:ind w:left="0" w:firstLine="1440"/>
      </w:pPr>
      <w:rPr>
        <w:rFonts w:ascii="Times New Roman" w:hAnsi="Times New Roman" w:cs="Times New Roman"/>
        <w:b/>
        <w:bCs w:val="0"/>
        <w:i w:val="0"/>
        <w:iCs w:val="0"/>
        <w:caps w:val="0"/>
        <w:smallCaps w:val="0"/>
        <w:strike w:val="0"/>
        <w:dstrike w:val="0"/>
        <w:noProof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OutlineL4"/>
      <w:lvlText w:val="%4."/>
      <w:lvlJc w:val="left"/>
      <w:pPr>
        <w:tabs>
          <w:tab w:val="num" w:pos="2880"/>
        </w:tabs>
        <w:ind w:left="0" w:firstLine="2160"/>
      </w:pPr>
      <w:rPr>
        <w:b/>
        <w:i/>
        <w:caps w:val="0"/>
        <w:smallCaps w:val="0"/>
        <w:u w:val="none"/>
      </w:rPr>
    </w:lvl>
    <w:lvl w:ilvl="4">
      <w:start w:val="1"/>
      <w:numFmt w:val="lowerRoman"/>
      <w:pStyle w:val="OutlineL5"/>
      <w:lvlText w:val="(%5)"/>
      <w:lvlJc w:val="left"/>
      <w:pPr>
        <w:tabs>
          <w:tab w:val="num" w:pos="3600"/>
        </w:tabs>
        <w:ind w:left="0" w:firstLine="2880"/>
      </w:pPr>
      <w:rPr>
        <w:b w:val="0"/>
        <w:i w:val="0"/>
        <w:caps w:val="0"/>
        <w:smallCaps w:val="0"/>
        <w:u w:val="none"/>
      </w:rPr>
    </w:lvl>
    <w:lvl w:ilvl="5">
      <w:start w:val="1"/>
      <w:numFmt w:val="lowerLetter"/>
      <w:pStyle w:val="OutlineL6"/>
      <w:lvlText w:val="(%6)"/>
      <w:lvlJc w:val="left"/>
      <w:pPr>
        <w:tabs>
          <w:tab w:val="num" w:pos="4320"/>
        </w:tabs>
        <w:ind w:left="0" w:firstLine="3600"/>
      </w:pPr>
      <w:rPr>
        <w:b w:val="0"/>
        <w:i w:val="0"/>
        <w:caps w:val="0"/>
        <w:smallCaps w:val="0"/>
        <w:u w:val="none"/>
      </w:rPr>
    </w:lvl>
    <w:lvl w:ilvl="6">
      <w:start w:val="1"/>
      <w:numFmt w:val="decimal"/>
      <w:pStyle w:val="OutlineL7"/>
      <w:lvlText w:val="(%7)"/>
      <w:lvlJc w:val="left"/>
      <w:pPr>
        <w:tabs>
          <w:tab w:val="num" w:pos="5040"/>
        </w:tabs>
        <w:ind w:left="0" w:firstLine="4320"/>
      </w:pPr>
      <w:rPr>
        <w:b w:val="0"/>
        <w:i w:val="0"/>
        <w:caps w:val="0"/>
        <w:smallCaps w:val="0"/>
        <w:u w:val="none"/>
      </w:rPr>
    </w:lvl>
    <w:lvl w:ilvl="7">
      <w:start w:val="1"/>
      <w:numFmt w:val="lowerRoman"/>
      <w:pStyle w:val="OutlineL8"/>
      <w:lvlText w:val="%8)"/>
      <w:lvlJc w:val="left"/>
      <w:pPr>
        <w:tabs>
          <w:tab w:val="num" w:pos="5760"/>
        </w:tabs>
        <w:ind w:left="0" w:firstLine="5040"/>
      </w:pPr>
      <w:rPr>
        <w:b w:val="0"/>
        <w:i w:val="0"/>
        <w:caps w:val="0"/>
        <w:smallCaps w:val="0"/>
        <w:u w:val="none"/>
      </w:rPr>
    </w:lvl>
    <w:lvl w:ilvl="8">
      <w:start w:val="1"/>
      <w:numFmt w:val="lowerLetter"/>
      <w:pStyle w:val="OutlineL9"/>
      <w:lvlText w:val="%9)"/>
      <w:lvlJc w:val="left"/>
      <w:pPr>
        <w:tabs>
          <w:tab w:val="num" w:pos="6480"/>
        </w:tabs>
        <w:ind w:left="0" w:firstLine="5760"/>
      </w:pPr>
      <w:rPr>
        <w:b w:val="0"/>
        <w:i w:val="0"/>
        <w:caps w:val="0"/>
        <w:smallCaps w:val="0"/>
        <w:u w:val="none"/>
      </w:rPr>
    </w:lvl>
  </w:abstractNum>
  <w:abstractNum w:abstractNumId="13" w15:restartNumberingAfterBreak="0">
    <w:nsid w:val="7AB7103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7F023BE3"/>
    <w:multiLevelType w:val="hybridMultilevel"/>
    <w:tmpl w:val="8D2C7A5C"/>
    <w:lvl w:ilvl="0" w:tplc="023867D4">
      <w:start w:val="1"/>
      <w:numFmt w:val="bullet"/>
      <w:lvlText w:val=""/>
      <w:lvlJc w:val="left"/>
      <w:pPr>
        <w:ind w:left="720" w:hanging="360"/>
      </w:pPr>
      <w:rPr>
        <w:rFonts w:ascii="Symbol" w:hAnsi="Symbol" w:hint="default"/>
      </w:rPr>
    </w:lvl>
    <w:lvl w:ilvl="1" w:tplc="928804CE" w:tentative="1">
      <w:start w:val="1"/>
      <w:numFmt w:val="bullet"/>
      <w:lvlText w:val="o"/>
      <w:lvlJc w:val="left"/>
      <w:pPr>
        <w:ind w:left="1440" w:hanging="360"/>
      </w:pPr>
      <w:rPr>
        <w:rFonts w:ascii="Courier New" w:hAnsi="Courier New" w:cs="Courier New" w:hint="default"/>
      </w:rPr>
    </w:lvl>
    <w:lvl w:ilvl="2" w:tplc="93BAC240" w:tentative="1">
      <w:start w:val="1"/>
      <w:numFmt w:val="bullet"/>
      <w:lvlText w:val=""/>
      <w:lvlJc w:val="left"/>
      <w:pPr>
        <w:ind w:left="2160" w:hanging="360"/>
      </w:pPr>
      <w:rPr>
        <w:rFonts w:ascii="Wingdings" w:hAnsi="Wingdings" w:hint="default"/>
      </w:rPr>
    </w:lvl>
    <w:lvl w:ilvl="3" w:tplc="867E17CE" w:tentative="1">
      <w:start w:val="1"/>
      <w:numFmt w:val="bullet"/>
      <w:lvlText w:val=""/>
      <w:lvlJc w:val="left"/>
      <w:pPr>
        <w:ind w:left="2880" w:hanging="360"/>
      </w:pPr>
      <w:rPr>
        <w:rFonts w:ascii="Symbol" w:hAnsi="Symbol" w:hint="default"/>
      </w:rPr>
    </w:lvl>
    <w:lvl w:ilvl="4" w:tplc="BE9C1F96" w:tentative="1">
      <w:start w:val="1"/>
      <w:numFmt w:val="bullet"/>
      <w:lvlText w:val="o"/>
      <w:lvlJc w:val="left"/>
      <w:pPr>
        <w:ind w:left="3600" w:hanging="360"/>
      </w:pPr>
      <w:rPr>
        <w:rFonts w:ascii="Courier New" w:hAnsi="Courier New" w:cs="Courier New" w:hint="default"/>
      </w:rPr>
    </w:lvl>
    <w:lvl w:ilvl="5" w:tplc="1212BE54" w:tentative="1">
      <w:start w:val="1"/>
      <w:numFmt w:val="bullet"/>
      <w:lvlText w:val=""/>
      <w:lvlJc w:val="left"/>
      <w:pPr>
        <w:ind w:left="4320" w:hanging="360"/>
      </w:pPr>
      <w:rPr>
        <w:rFonts w:ascii="Wingdings" w:hAnsi="Wingdings" w:hint="default"/>
      </w:rPr>
    </w:lvl>
    <w:lvl w:ilvl="6" w:tplc="235CC814" w:tentative="1">
      <w:start w:val="1"/>
      <w:numFmt w:val="bullet"/>
      <w:lvlText w:val=""/>
      <w:lvlJc w:val="left"/>
      <w:pPr>
        <w:ind w:left="5040" w:hanging="360"/>
      </w:pPr>
      <w:rPr>
        <w:rFonts w:ascii="Symbol" w:hAnsi="Symbol" w:hint="default"/>
      </w:rPr>
    </w:lvl>
    <w:lvl w:ilvl="7" w:tplc="2E6689CE" w:tentative="1">
      <w:start w:val="1"/>
      <w:numFmt w:val="bullet"/>
      <w:lvlText w:val="o"/>
      <w:lvlJc w:val="left"/>
      <w:pPr>
        <w:ind w:left="5760" w:hanging="360"/>
      </w:pPr>
      <w:rPr>
        <w:rFonts w:ascii="Courier New" w:hAnsi="Courier New" w:cs="Courier New" w:hint="default"/>
      </w:rPr>
    </w:lvl>
    <w:lvl w:ilvl="8" w:tplc="480AF8B8" w:tentative="1">
      <w:start w:val="1"/>
      <w:numFmt w:val="bullet"/>
      <w:lvlText w:val=""/>
      <w:lvlJc w:val="left"/>
      <w:pPr>
        <w:ind w:left="6480" w:hanging="360"/>
      </w:pPr>
      <w:rPr>
        <w:rFonts w:ascii="Wingdings" w:hAnsi="Wingdings" w:hint="default"/>
      </w:rPr>
    </w:lvl>
  </w:abstractNum>
  <w:num w:numId="1" w16cid:durableId="860584882">
    <w:abstractNumId w:val="11"/>
  </w:num>
  <w:num w:numId="2" w16cid:durableId="1288393235">
    <w:abstractNumId w:val="12"/>
  </w:num>
  <w:num w:numId="3" w16cid:durableId="661275002">
    <w:abstractNumId w:val="2"/>
  </w:num>
  <w:num w:numId="4" w16cid:durableId="2060203668">
    <w:abstractNumId w:val="6"/>
  </w:num>
  <w:num w:numId="5" w16cid:durableId="1596328216">
    <w:abstractNumId w:val="12"/>
  </w:num>
  <w:num w:numId="6" w16cid:durableId="1001279189">
    <w:abstractNumId w:val="12"/>
  </w:num>
  <w:num w:numId="7" w16cid:durableId="1101874944">
    <w:abstractNumId w:val="12"/>
  </w:num>
  <w:num w:numId="8" w16cid:durableId="145246639">
    <w:abstractNumId w:val="5"/>
  </w:num>
  <w:num w:numId="9" w16cid:durableId="533884512">
    <w:abstractNumId w:val="1"/>
  </w:num>
  <w:num w:numId="10" w16cid:durableId="960455064">
    <w:abstractNumId w:val="14"/>
  </w:num>
  <w:num w:numId="11" w16cid:durableId="1916546001">
    <w:abstractNumId w:val="8"/>
  </w:num>
  <w:num w:numId="12" w16cid:durableId="491486649">
    <w:abstractNumId w:val="0"/>
  </w:num>
  <w:num w:numId="13" w16cid:durableId="2134401309">
    <w:abstractNumId w:val="12"/>
  </w:num>
  <w:num w:numId="14" w16cid:durableId="1392267924">
    <w:abstractNumId w:val="12"/>
  </w:num>
  <w:num w:numId="15" w16cid:durableId="1811946288">
    <w:abstractNumId w:val="12"/>
  </w:num>
  <w:num w:numId="16" w16cid:durableId="1303197214">
    <w:abstractNumId w:val="12"/>
  </w:num>
  <w:num w:numId="17" w16cid:durableId="2093236055">
    <w:abstractNumId w:val="7"/>
  </w:num>
  <w:num w:numId="18" w16cid:durableId="30157544">
    <w:abstractNumId w:val="3"/>
  </w:num>
  <w:num w:numId="19" w16cid:durableId="1163471522">
    <w:abstractNumId w:val="9"/>
  </w:num>
  <w:num w:numId="20" w16cid:durableId="20474130">
    <w:abstractNumId w:val="13"/>
  </w:num>
  <w:num w:numId="21" w16cid:durableId="358623470">
    <w:abstractNumId w:val="4"/>
  </w:num>
  <w:num w:numId="22" w16cid:durableId="83214240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707"/>
    <w:rsid w:val="00007B9F"/>
    <w:rsid w:val="00012690"/>
    <w:rsid w:val="00021F43"/>
    <w:rsid w:val="0002619F"/>
    <w:rsid w:val="00026B36"/>
    <w:rsid w:val="000313B2"/>
    <w:rsid w:val="00043358"/>
    <w:rsid w:val="000438B7"/>
    <w:rsid w:val="0005156D"/>
    <w:rsid w:val="00054819"/>
    <w:rsid w:val="00055E47"/>
    <w:rsid w:val="00057CE8"/>
    <w:rsid w:val="00073D8E"/>
    <w:rsid w:val="0008170F"/>
    <w:rsid w:val="00090FE7"/>
    <w:rsid w:val="000C0F8F"/>
    <w:rsid w:val="000C3457"/>
    <w:rsid w:val="000D3452"/>
    <w:rsid w:val="000D377B"/>
    <w:rsid w:val="000E20FB"/>
    <w:rsid w:val="000F22A8"/>
    <w:rsid w:val="000F5B88"/>
    <w:rsid w:val="001013FD"/>
    <w:rsid w:val="00103457"/>
    <w:rsid w:val="00104F94"/>
    <w:rsid w:val="00113708"/>
    <w:rsid w:val="00135E69"/>
    <w:rsid w:val="00143F03"/>
    <w:rsid w:val="00147DE8"/>
    <w:rsid w:val="001561A4"/>
    <w:rsid w:val="00190091"/>
    <w:rsid w:val="001946DB"/>
    <w:rsid w:val="001A3E3E"/>
    <w:rsid w:val="001B4A03"/>
    <w:rsid w:val="001D136B"/>
    <w:rsid w:val="001D1F9E"/>
    <w:rsid w:val="001D2988"/>
    <w:rsid w:val="001E0C5D"/>
    <w:rsid w:val="00214C0D"/>
    <w:rsid w:val="00236750"/>
    <w:rsid w:val="00245771"/>
    <w:rsid w:val="002516CD"/>
    <w:rsid w:val="00253C9B"/>
    <w:rsid w:val="002607FB"/>
    <w:rsid w:val="00265377"/>
    <w:rsid w:val="00265A9E"/>
    <w:rsid w:val="0027290C"/>
    <w:rsid w:val="00282B6F"/>
    <w:rsid w:val="00286815"/>
    <w:rsid w:val="002875D0"/>
    <w:rsid w:val="002A1879"/>
    <w:rsid w:val="002A7597"/>
    <w:rsid w:val="002C651E"/>
    <w:rsid w:val="002D6048"/>
    <w:rsid w:val="002E59B6"/>
    <w:rsid w:val="002E633E"/>
    <w:rsid w:val="002F5C9B"/>
    <w:rsid w:val="002F7EA6"/>
    <w:rsid w:val="0030635E"/>
    <w:rsid w:val="003142FA"/>
    <w:rsid w:val="0032149B"/>
    <w:rsid w:val="00323B6E"/>
    <w:rsid w:val="003257B3"/>
    <w:rsid w:val="003409C8"/>
    <w:rsid w:val="003413AC"/>
    <w:rsid w:val="0034307F"/>
    <w:rsid w:val="00361F18"/>
    <w:rsid w:val="00362E4E"/>
    <w:rsid w:val="00375A76"/>
    <w:rsid w:val="003859D2"/>
    <w:rsid w:val="00385BE9"/>
    <w:rsid w:val="003A2932"/>
    <w:rsid w:val="003B386C"/>
    <w:rsid w:val="003C0610"/>
    <w:rsid w:val="003D0285"/>
    <w:rsid w:val="003D1BD5"/>
    <w:rsid w:val="0040435F"/>
    <w:rsid w:val="00413D39"/>
    <w:rsid w:val="00432A47"/>
    <w:rsid w:val="00436A76"/>
    <w:rsid w:val="004371ED"/>
    <w:rsid w:val="00443348"/>
    <w:rsid w:val="00447741"/>
    <w:rsid w:val="0045160B"/>
    <w:rsid w:val="00464B57"/>
    <w:rsid w:val="004665AB"/>
    <w:rsid w:val="0048210B"/>
    <w:rsid w:val="00484EDA"/>
    <w:rsid w:val="00496E3C"/>
    <w:rsid w:val="004A0804"/>
    <w:rsid w:val="004A1892"/>
    <w:rsid w:val="004B2553"/>
    <w:rsid w:val="004B45D4"/>
    <w:rsid w:val="004D6BFD"/>
    <w:rsid w:val="004D7C5C"/>
    <w:rsid w:val="004E2AFC"/>
    <w:rsid w:val="004F06D9"/>
    <w:rsid w:val="004F4FAC"/>
    <w:rsid w:val="00500EE4"/>
    <w:rsid w:val="00517350"/>
    <w:rsid w:val="005177CF"/>
    <w:rsid w:val="00522750"/>
    <w:rsid w:val="005446A5"/>
    <w:rsid w:val="00546944"/>
    <w:rsid w:val="00564E67"/>
    <w:rsid w:val="00566EC1"/>
    <w:rsid w:val="00571154"/>
    <w:rsid w:val="00572CE8"/>
    <w:rsid w:val="0057522F"/>
    <w:rsid w:val="0058396E"/>
    <w:rsid w:val="00590801"/>
    <w:rsid w:val="00592C55"/>
    <w:rsid w:val="005940B2"/>
    <w:rsid w:val="005B2715"/>
    <w:rsid w:val="005B5E1C"/>
    <w:rsid w:val="005C3B9F"/>
    <w:rsid w:val="005C663D"/>
    <w:rsid w:val="005C7340"/>
    <w:rsid w:val="005D378D"/>
    <w:rsid w:val="005D6602"/>
    <w:rsid w:val="005E68F1"/>
    <w:rsid w:val="005F6775"/>
    <w:rsid w:val="0061060F"/>
    <w:rsid w:val="00613169"/>
    <w:rsid w:val="0062131E"/>
    <w:rsid w:val="006357E4"/>
    <w:rsid w:val="0065063B"/>
    <w:rsid w:val="00650CBD"/>
    <w:rsid w:val="0065317F"/>
    <w:rsid w:val="00654EFF"/>
    <w:rsid w:val="006715AE"/>
    <w:rsid w:val="006717FF"/>
    <w:rsid w:val="00677BCB"/>
    <w:rsid w:val="00680BA6"/>
    <w:rsid w:val="00685C05"/>
    <w:rsid w:val="006A6BD3"/>
    <w:rsid w:val="006B0957"/>
    <w:rsid w:val="006B3733"/>
    <w:rsid w:val="006B5A64"/>
    <w:rsid w:val="006D01FE"/>
    <w:rsid w:val="006D3E93"/>
    <w:rsid w:val="006D6FA6"/>
    <w:rsid w:val="006E35BC"/>
    <w:rsid w:val="006E37D4"/>
    <w:rsid w:val="006E6F79"/>
    <w:rsid w:val="006E7478"/>
    <w:rsid w:val="006F411A"/>
    <w:rsid w:val="006F6858"/>
    <w:rsid w:val="00704940"/>
    <w:rsid w:val="007074CB"/>
    <w:rsid w:val="00725F61"/>
    <w:rsid w:val="007279C9"/>
    <w:rsid w:val="00734703"/>
    <w:rsid w:val="0073502F"/>
    <w:rsid w:val="00751105"/>
    <w:rsid w:val="00774707"/>
    <w:rsid w:val="0077502C"/>
    <w:rsid w:val="0078248B"/>
    <w:rsid w:val="00785128"/>
    <w:rsid w:val="0078607B"/>
    <w:rsid w:val="007B74F1"/>
    <w:rsid w:val="007C086E"/>
    <w:rsid w:val="007C3E27"/>
    <w:rsid w:val="007C7711"/>
    <w:rsid w:val="007D0FF4"/>
    <w:rsid w:val="007D7F70"/>
    <w:rsid w:val="007F6B0E"/>
    <w:rsid w:val="008014F1"/>
    <w:rsid w:val="008044EF"/>
    <w:rsid w:val="00805CA8"/>
    <w:rsid w:val="008248C6"/>
    <w:rsid w:val="00835067"/>
    <w:rsid w:val="008354C5"/>
    <w:rsid w:val="00845F96"/>
    <w:rsid w:val="00847598"/>
    <w:rsid w:val="00847AD5"/>
    <w:rsid w:val="00855A03"/>
    <w:rsid w:val="00862771"/>
    <w:rsid w:val="00867086"/>
    <w:rsid w:val="008712BD"/>
    <w:rsid w:val="008772FD"/>
    <w:rsid w:val="00881382"/>
    <w:rsid w:val="00882B59"/>
    <w:rsid w:val="00887E07"/>
    <w:rsid w:val="008920C6"/>
    <w:rsid w:val="00896534"/>
    <w:rsid w:val="008A6FE4"/>
    <w:rsid w:val="008B4A4F"/>
    <w:rsid w:val="008B5D80"/>
    <w:rsid w:val="008C3B6E"/>
    <w:rsid w:val="008C5B19"/>
    <w:rsid w:val="008D6199"/>
    <w:rsid w:val="008E7C16"/>
    <w:rsid w:val="009059A5"/>
    <w:rsid w:val="009104F3"/>
    <w:rsid w:val="0092092A"/>
    <w:rsid w:val="00923C84"/>
    <w:rsid w:val="009253F8"/>
    <w:rsid w:val="00930269"/>
    <w:rsid w:val="0093075D"/>
    <w:rsid w:val="00937659"/>
    <w:rsid w:val="00941611"/>
    <w:rsid w:val="009422F1"/>
    <w:rsid w:val="00946BC1"/>
    <w:rsid w:val="00957B30"/>
    <w:rsid w:val="00966A6B"/>
    <w:rsid w:val="00976C0B"/>
    <w:rsid w:val="00977941"/>
    <w:rsid w:val="00992B10"/>
    <w:rsid w:val="0099701C"/>
    <w:rsid w:val="009B528F"/>
    <w:rsid w:val="009C31FC"/>
    <w:rsid w:val="009F0330"/>
    <w:rsid w:val="00A13A0F"/>
    <w:rsid w:val="00A35C30"/>
    <w:rsid w:val="00A54332"/>
    <w:rsid w:val="00A57A81"/>
    <w:rsid w:val="00A71693"/>
    <w:rsid w:val="00A77FF8"/>
    <w:rsid w:val="00A81262"/>
    <w:rsid w:val="00A91F8D"/>
    <w:rsid w:val="00AA4AE6"/>
    <w:rsid w:val="00AA59C4"/>
    <w:rsid w:val="00AB4CC7"/>
    <w:rsid w:val="00AB4F70"/>
    <w:rsid w:val="00AC3AAD"/>
    <w:rsid w:val="00AC5FC5"/>
    <w:rsid w:val="00AC6C49"/>
    <w:rsid w:val="00AD03ED"/>
    <w:rsid w:val="00AE1A73"/>
    <w:rsid w:val="00AE41BE"/>
    <w:rsid w:val="00AE5457"/>
    <w:rsid w:val="00AF3981"/>
    <w:rsid w:val="00B0156B"/>
    <w:rsid w:val="00B03814"/>
    <w:rsid w:val="00B10DB4"/>
    <w:rsid w:val="00B11EF5"/>
    <w:rsid w:val="00B2566A"/>
    <w:rsid w:val="00B369C7"/>
    <w:rsid w:val="00B45968"/>
    <w:rsid w:val="00B45A34"/>
    <w:rsid w:val="00B648E0"/>
    <w:rsid w:val="00B73DF7"/>
    <w:rsid w:val="00B74897"/>
    <w:rsid w:val="00B77980"/>
    <w:rsid w:val="00B81186"/>
    <w:rsid w:val="00B92ACA"/>
    <w:rsid w:val="00B949EB"/>
    <w:rsid w:val="00BA34D5"/>
    <w:rsid w:val="00BB287B"/>
    <w:rsid w:val="00BB5D10"/>
    <w:rsid w:val="00BC1375"/>
    <w:rsid w:val="00BC1BAF"/>
    <w:rsid w:val="00BD3AFD"/>
    <w:rsid w:val="00BE33CB"/>
    <w:rsid w:val="00BE5B8F"/>
    <w:rsid w:val="00BF19F1"/>
    <w:rsid w:val="00BF6A3C"/>
    <w:rsid w:val="00C06EF6"/>
    <w:rsid w:val="00C11E9B"/>
    <w:rsid w:val="00C37766"/>
    <w:rsid w:val="00C406B5"/>
    <w:rsid w:val="00C41024"/>
    <w:rsid w:val="00C41E9C"/>
    <w:rsid w:val="00C62528"/>
    <w:rsid w:val="00C752F0"/>
    <w:rsid w:val="00C8565D"/>
    <w:rsid w:val="00C86F52"/>
    <w:rsid w:val="00C92755"/>
    <w:rsid w:val="00C92A8F"/>
    <w:rsid w:val="00C9471C"/>
    <w:rsid w:val="00CA7967"/>
    <w:rsid w:val="00CA7C71"/>
    <w:rsid w:val="00CB3E4C"/>
    <w:rsid w:val="00CC042A"/>
    <w:rsid w:val="00CC2B1B"/>
    <w:rsid w:val="00CC3955"/>
    <w:rsid w:val="00CC7A6A"/>
    <w:rsid w:val="00CD0189"/>
    <w:rsid w:val="00CD2169"/>
    <w:rsid w:val="00CD56ED"/>
    <w:rsid w:val="00CE43F1"/>
    <w:rsid w:val="00CE6733"/>
    <w:rsid w:val="00CF517C"/>
    <w:rsid w:val="00D1148B"/>
    <w:rsid w:val="00D13956"/>
    <w:rsid w:val="00D267CD"/>
    <w:rsid w:val="00D42CFC"/>
    <w:rsid w:val="00D4504C"/>
    <w:rsid w:val="00D564AC"/>
    <w:rsid w:val="00D6084A"/>
    <w:rsid w:val="00D63157"/>
    <w:rsid w:val="00D63C21"/>
    <w:rsid w:val="00D70070"/>
    <w:rsid w:val="00D81608"/>
    <w:rsid w:val="00D90F71"/>
    <w:rsid w:val="00D91A0E"/>
    <w:rsid w:val="00D97816"/>
    <w:rsid w:val="00DA18BC"/>
    <w:rsid w:val="00DB2413"/>
    <w:rsid w:val="00DC2572"/>
    <w:rsid w:val="00DC716A"/>
    <w:rsid w:val="00DD2D09"/>
    <w:rsid w:val="00DD35F7"/>
    <w:rsid w:val="00DE128B"/>
    <w:rsid w:val="00DE1A1D"/>
    <w:rsid w:val="00DE41F2"/>
    <w:rsid w:val="00DF07AE"/>
    <w:rsid w:val="00DF35C2"/>
    <w:rsid w:val="00DF5463"/>
    <w:rsid w:val="00E17FC1"/>
    <w:rsid w:val="00E221FA"/>
    <w:rsid w:val="00E57C38"/>
    <w:rsid w:val="00E60009"/>
    <w:rsid w:val="00E8006C"/>
    <w:rsid w:val="00E8406D"/>
    <w:rsid w:val="00E94AF9"/>
    <w:rsid w:val="00E96E53"/>
    <w:rsid w:val="00EA6B46"/>
    <w:rsid w:val="00EB4C04"/>
    <w:rsid w:val="00EB5576"/>
    <w:rsid w:val="00EC2D1D"/>
    <w:rsid w:val="00EC7C51"/>
    <w:rsid w:val="00EE7B60"/>
    <w:rsid w:val="00EF50C1"/>
    <w:rsid w:val="00F072FB"/>
    <w:rsid w:val="00F12F79"/>
    <w:rsid w:val="00F21BE8"/>
    <w:rsid w:val="00F247E2"/>
    <w:rsid w:val="00F34DC5"/>
    <w:rsid w:val="00F41D08"/>
    <w:rsid w:val="00F52E18"/>
    <w:rsid w:val="00F54FF3"/>
    <w:rsid w:val="00F5773B"/>
    <w:rsid w:val="00F64097"/>
    <w:rsid w:val="00F66E81"/>
    <w:rsid w:val="00F7656C"/>
    <w:rsid w:val="00F77809"/>
    <w:rsid w:val="00F80816"/>
    <w:rsid w:val="00F83B51"/>
    <w:rsid w:val="00F83E98"/>
    <w:rsid w:val="00F8580C"/>
    <w:rsid w:val="00F86E5D"/>
    <w:rsid w:val="00F93688"/>
    <w:rsid w:val="00F95451"/>
    <w:rsid w:val="00FA3395"/>
    <w:rsid w:val="00FB2C03"/>
    <w:rsid w:val="00FD1FFF"/>
    <w:rsid w:val="00FE1CB6"/>
    <w:rsid w:val="00FE4CB0"/>
    <w:rsid w:val="00FE675B"/>
    <w:rsid w:val="2D7FEEE9"/>
    <w:rsid w:val="3A6AD63C"/>
    <w:rsid w:val="572398F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C9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0108"/>
    <w:rPr>
      <w:rFonts w:eastAsia="SimSun" w:cs="Times New Roman"/>
      <w:szCs w:val="24"/>
      <w:lang w:eastAsia="zh-CN"/>
    </w:rPr>
  </w:style>
  <w:style w:type="paragraph" w:styleId="Heading1">
    <w:name w:val="heading 1"/>
    <w:basedOn w:val="Normal"/>
    <w:next w:val="Normal"/>
    <w:link w:val="Heading1Char"/>
    <w:uiPriority w:val="9"/>
    <w:qFormat/>
    <w:rsid w:val="00D6044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D60442"/>
    <w:pPr>
      <w:keepNext/>
      <w:keepLines/>
      <w:spacing w:before="40"/>
      <w:ind w:left="720"/>
      <w:outlineLvl w:val="1"/>
    </w:pPr>
    <w:rPr>
      <w:rFonts w:asciiTheme="majorHAnsi" w:eastAsiaTheme="majorEastAsia" w:hAnsiTheme="majorHAnsi" w:cstheme="majorBidi"/>
      <w:color w:val="365F91" w:themeColor="accent1" w:themeShade="BF"/>
      <w:sz w:val="26"/>
      <w:szCs w:val="26"/>
      <w:lang w:eastAsia="en-US"/>
    </w:rPr>
  </w:style>
  <w:style w:type="paragraph" w:styleId="Heading3">
    <w:name w:val="heading 3"/>
    <w:basedOn w:val="Normal"/>
    <w:next w:val="Normal"/>
    <w:link w:val="Heading3Char"/>
    <w:uiPriority w:val="9"/>
    <w:semiHidden/>
    <w:unhideWhenUsed/>
    <w:qFormat/>
    <w:rsid w:val="00D60442"/>
    <w:pPr>
      <w:keepNext/>
      <w:keepLines/>
      <w:spacing w:before="40"/>
      <w:ind w:left="1440"/>
      <w:outlineLvl w:val="2"/>
    </w:pPr>
    <w:rPr>
      <w:rFonts w:asciiTheme="majorHAnsi" w:eastAsiaTheme="majorEastAsia" w:hAnsiTheme="majorHAnsi" w:cstheme="majorBidi"/>
      <w:color w:val="243F60" w:themeColor="accent1" w:themeShade="7F"/>
      <w:lang w:eastAsia="en-US"/>
    </w:rPr>
  </w:style>
  <w:style w:type="paragraph" w:styleId="Heading4">
    <w:name w:val="heading 4"/>
    <w:basedOn w:val="Normal"/>
    <w:next w:val="Normal"/>
    <w:link w:val="Heading4Char"/>
    <w:uiPriority w:val="9"/>
    <w:semiHidden/>
    <w:unhideWhenUsed/>
    <w:qFormat/>
    <w:rsid w:val="00D60442"/>
    <w:pPr>
      <w:keepNext/>
      <w:keepLines/>
      <w:spacing w:before="40"/>
      <w:ind w:left="2160"/>
      <w:outlineLvl w:val="3"/>
    </w:pPr>
    <w:rPr>
      <w:rFonts w:asciiTheme="majorHAnsi" w:eastAsiaTheme="majorEastAsia" w:hAnsiTheme="majorHAnsi" w:cstheme="majorBidi"/>
      <w:i/>
      <w:iCs/>
      <w:color w:val="365F91" w:themeColor="accent1" w:themeShade="BF"/>
      <w:lang w:eastAsia="en-US"/>
    </w:rPr>
  </w:style>
  <w:style w:type="paragraph" w:styleId="Heading5">
    <w:name w:val="heading 5"/>
    <w:basedOn w:val="Normal"/>
    <w:next w:val="Normal"/>
    <w:link w:val="Heading5Char"/>
    <w:uiPriority w:val="9"/>
    <w:semiHidden/>
    <w:unhideWhenUsed/>
    <w:qFormat/>
    <w:rsid w:val="00D60442"/>
    <w:pPr>
      <w:keepNext/>
      <w:keepLines/>
      <w:spacing w:before="40"/>
      <w:ind w:left="2880"/>
      <w:outlineLvl w:val="4"/>
    </w:pPr>
    <w:rPr>
      <w:rFonts w:asciiTheme="majorHAnsi" w:eastAsiaTheme="majorEastAsia" w:hAnsiTheme="majorHAnsi" w:cstheme="majorBidi"/>
      <w:color w:val="365F91" w:themeColor="accent1" w:themeShade="BF"/>
      <w:lang w:eastAsia="en-US"/>
    </w:rPr>
  </w:style>
  <w:style w:type="paragraph" w:styleId="Heading6">
    <w:name w:val="heading 6"/>
    <w:basedOn w:val="Normal"/>
    <w:next w:val="Normal"/>
    <w:link w:val="Heading6Char"/>
    <w:uiPriority w:val="9"/>
    <w:semiHidden/>
    <w:unhideWhenUsed/>
    <w:qFormat/>
    <w:rsid w:val="00D60442"/>
    <w:pPr>
      <w:keepNext/>
      <w:keepLines/>
      <w:spacing w:before="40"/>
      <w:ind w:left="3600"/>
      <w:outlineLvl w:val="5"/>
    </w:pPr>
    <w:rPr>
      <w:rFonts w:asciiTheme="majorHAnsi" w:eastAsiaTheme="majorEastAsia" w:hAnsiTheme="majorHAnsi" w:cstheme="majorBidi"/>
      <w:color w:val="243F60" w:themeColor="accent1" w:themeShade="7F"/>
      <w:lang w:eastAsia="en-US"/>
    </w:rPr>
  </w:style>
  <w:style w:type="paragraph" w:styleId="Heading7">
    <w:name w:val="heading 7"/>
    <w:basedOn w:val="Normal"/>
    <w:next w:val="Normal"/>
    <w:link w:val="Heading7Char"/>
    <w:uiPriority w:val="9"/>
    <w:semiHidden/>
    <w:unhideWhenUsed/>
    <w:qFormat/>
    <w:rsid w:val="00D60442"/>
    <w:pPr>
      <w:keepNext/>
      <w:keepLines/>
      <w:spacing w:before="40"/>
      <w:ind w:left="4320"/>
      <w:outlineLvl w:val="6"/>
    </w:pPr>
    <w:rPr>
      <w:rFonts w:asciiTheme="majorHAnsi" w:eastAsiaTheme="majorEastAsia" w:hAnsiTheme="majorHAnsi" w:cstheme="majorBidi"/>
      <w:i/>
      <w:iCs/>
      <w:color w:val="243F60" w:themeColor="accent1" w:themeShade="7F"/>
      <w:lang w:eastAsia="en-US"/>
    </w:rPr>
  </w:style>
  <w:style w:type="paragraph" w:styleId="Heading8">
    <w:name w:val="heading 8"/>
    <w:basedOn w:val="Normal"/>
    <w:next w:val="Normal"/>
    <w:link w:val="Heading8Char"/>
    <w:uiPriority w:val="9"/>
    <w:semiHidden/>
    <w:unhideWhenUsed/>
    <w:qFormat/>
    <w:rsid w:val="00D60442"/>
    <w:pPr>
      <w:keepNext/>
      <w:keepLines/>
      <w:spacing w:before="40"/>
      <w:ind w:left="5040"/>
      <w:outlineLvl w:val="7"/>
    </w:pPr>
    <w:rPr>
      <w:rFonts w:asciiTheme="majorHAnsi" w:eastAsiaTheme="majorEastAsia" w:hAnsiTheme="majorHAnsi" w:cstheme="majorBidi"/>
      <w:color w:val="272727" w:themeColor="text1" w:themeTint="D8"/>
      <w:sz w:val="21"/>
      <w:szCs w:val="21"/>
      <w:lang w:eastAsia="en-US"/>
    </w:rPr>
  </w:style>
  <w:style w:type="paragraph" w:styleId="Heading9">
    <w:name w:val="heading 9"/>
    <w:basedOn w:val="Normal"/>
    <w:next w:val="Normal"/>
    <w:link w:val="Heading9Char"/>
    <w:uiPriority w:val="9"/>
    <w:semiHidden/>
    <w:unhideWhenUsed/>
    <w:qFormat/>
    <w:rsid w:val="00D60442"/>
    <w:pPr>
      <w:keepNext/>
      <w:keepLines/>
      <w:spacing w:before="40"/>
      <w:ind w:left="5760"/>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20B8A"/>
    <w:pPr>
      <w:widowControl w:val="0"/>
      <w:spacing w:after="240"/>
      <w:ind w:firstLine="720"/>
    </w:pPr>
  </w:style>
  <w:style w:type="character" w:customStyle="1" w:styleId="BodyTextChar">
    <w:name w:val="Body Text Char"/>
    <w:basedOn w:val="DefaultParagraphFont"/>
    <w:link w:val="BodyText"/>
    <w:rsid w:val="00C036EA"/>
    <w:rPr>
      <w:rFonts w:cs="Times New Roman"/>
      <w:szCs w:val="24"/>
    </w:rPr>
  </w:style>
  <w:style w:type="paragraph" w:customStyle="1" w:styleId="BodyTextContinued">
    <w:name w:val="Body Text Continued"/>
    <w:basedOn w:val="BodyText"/>
    <w:next w:val="BodyText"/>
    <w:rsid w:val="00D20B8A"/>
    <w:pPr>
      <w:ind w:firstLine="0"/>
    </w:pPr>
    <w:rPr>
      <w:szCs w:val="20"/>
    </w:rPr>
  </w:style>
  <w:style w:type="paragraph" w:styleId="Quote">
    <w:name w:val="Quote"/>
    <w:basedOn w:val="Normal"/>
    <w:next w:val="BodyTextContinued"/>
    <w:link w:val="QuoteChar"/>
    <w:qFormat/>
    <w:rsid w:val="00D20B8A"/>
    <w:pPr>
      <w:spacing w:after="240"/>
      <w:ind w:left="1440" w:right="1440"/>
    </w:pPr>
    <w:rPr>
      <w:szCs w:val="20"/>
    </w:rPr>
  </w:style>
  <w:style w:type="character" w:customStyle="1" w:styleId="QuoteChar">
    <w:name w:val="Quote Char"/>
    <w:basedOn w:val="DefaultParagraphFont"/>
    <w:link w:val="Quote"/>
    <w:rsid w:val="00C036EA"/>
    <w:rPr>
      <w:rFonts w:cs="Times New Roman"/>
      <w:szCs w:val="20"/>
    </w:rPr>
  </w:style>
  <w:style w:type="paragraph" w:styleId="Header">
    <w:name w:val="header"/>
    <w:basedOn w:val="Normal"/>
    <w:link w:val="HeaderChar"/>
    <w:rsid w:val="00D20B8A"/>
    <w:pPr>
      <w:tabs>
        <w:tab w:val="center" w:pos="4680"/>
        <w:tab w:val="right" w:pos="9360"/>
      </w:tabs>
    </w:pPr>
  </w:style>
  <w:style w:type="character" w:customStyle="1" w:styleId="HeaderChar">
    <w:name w:val="Header Char"/>
    <w:basedOn w:val="DefaultParagraphFont"/>
    <w:link w:val="Header"/>
    <w:rsid w:val="00C036EA"/>
    <w:rPr>
      <w:rFonts w:cs="Times New Roman"/>
      <w:szCs w:val="24"/>
    </w:rPr>
  </w:style>
  <w:style w:type="paragraph" w:styleId="Footer">
    <w:name w:val="footer"/>
    <w:aliases w:val="ft"/>
    <w:basedOn w:val="Normal"/>
    <w:link w:val="FooterChar"/>
    <w:uiPriority w:val="99"/>
    <w:rsid w:val="00D20B8A"/>
    <w:pPr>
      <w:tabs>
        <w:tab w:val="center" w:pos="4680"/>
        <w:tab w:val="right" w:pos="9360"/>
      </w:tabs>
    </w:pPr>
  </w:style>
  <w:style w:type="character" w:customStyle="1" w:styleId="FooterChar">
    <w:name w:val="Footer Char"/>
    <w:aliases w:val="ft Char"/>
    <w:basedOn w:val="DefaultParagraphFont"/>
    <w:link w:val="Footer"/>
    <w:uiPriority w:val="99"/>
    <w:rsid w:val="00C036EA"/>
    <w:rPr>
      <w:rFonts w:cs="Times New Roman"/>
      <w:szCs w:val="24"/>
    </w:rPr>
  </w:style>
  <w:style w:type="character" w:styleId="PageNumber">
    <w:name w:val="page number"/>
    <w:basedOn w:val="DefaultParagraphFont"/>
    <w:rsid w:val="00D20B8A"/>
  </w:style>
  <w:style w:type="paragraph" w:styleId="Title">
    <w:name w:val="Title"/>
    <w:basedOn w:val="Normal"/>
    <w:next w:val="BodyText"/>
    <w:link w:val="TitleChar"/>
    <w:qFormat/>
    <w:rsid w:val="005A0108"/>
    <w:pPr>
      <w:spacing w:before="240" w:after="120"/>
      <w:jc w:val="center"/>
      <w:outlineLvl w:val="0"/>
    </w:pPr>
    <w:rPr>
      <w:rFonts w:cs="Arial"/>
      <w:b/>
      <w:bCs/>
      <w:caps/>
      <w:kern w:val="28"/>
      <w:szCs w:val="32"/>
      <w:u w:val="single"/>
    </w:rPr>
  </w:style>
  <w:style w:type="character" w:customStyle="1" w:styleId="TitleChar">
    <w:name w:val="Title Char"/>
    <w:basedOn w:val="DefaultParagraphFont"/>
    <w:link w:val="Title"/>
    <w:rsid w:val="005A0108"/>
    <w:rPr>
      <w:rFonts w:eastAsia="SimSun" w:cs="Arial"/>
      <w:b/>
      <w:bCs/>
      <w:caps/>
      <w:kern w:val="28"/>
      <w:szCs w:val="32"/>
      <w:u w:val="single"/>
      <w:lang w:eastAsia="zh-CN"/>
    </w:rPr>
  </w:style>
  <w:style w:type="paragraph" w:styleId="BlockText">
    <w:name w:val="Block Text"/>
    <w:aliases w:val="Block Indent"/>
    <w:basedOn w:val="Normal"/>
    <w:rsid w:val="005A0108"/>
    <w:pPr>
      <w:spacing w:before="120" w:after="120"/>
      <w:ind w:left="1440" w:right="1440"/>
    </w:pPr>
  </w:style>
  <w:style w:type="paragraph" w:styleId="Closing">
    <w:name w:val="Closing"/>
    <w:basedOn w:val="Normal"/>
    <w:link w:val="ClosingChar"/>
    <w:rsid w:val="005A0108"/>
    <w:pPr>
      <w:ind w:left="4320"/>
    </w:pPr>
  </w:style>
  <w:style w:type="character" w:customStyle="1" w:styleId="ClosingChar">
    <w:name w:val="Closing Char"/>
    <w:basedOn w:val="DefaultParagraphFont"/>
    <w:link w:val="Closing"/>
    <w:rsid w:val="005A0108"/>
    <w:rPr>
      <w:rFonts w:eastAsia="SimSun" w:cs="Times New Roman"/>
      <w:szCs w:val="24"/>
      <w:lang w:eastAsia="zh-CN"/>
    </w:rPr>
  </w:style>
  <w:style w:type="paragraph" w:styleId="Signature">
    <w:name w:val="Signature"/>
    <w:basedOn w:val="Normal"/>
    <w:link w:val="SignatureChar"/>
    <w:rsid w:val="005A0108"/>
    <w:pPr>
      <w:ind w:left="4320"/>
    </w:pPr>
  </w:style>
  <w:style w:type="character" w:customStyle="1" w:styleId="SignatureChar">
    <w:name w:val="Signature Char"/>
    <w:basedOn w:val="DefaultParagraphFont"/>
    <w:link w:val="Signature"/>
    <w:rsid w:val="005A0108"/>
    <w:rPr>
      <w:rFonts w:eastAsia="SimSun" w:cs="Times New Roman"/>
      <w:szCs w:val="24"/>
      <w:lang w:eastAsia="zh-CN"/>
    </w:rPr>
  </w:style>
  <w:style w:type="paragraph" w:styleId="Subtitle">
    <w:name w:val="Subtitle"/>
    <w:basedOn w:val="Normal"/>
    <w:link w:val="SubtitleChar"/>
    <w:qFormat/>
    <w:rsid w:val="005A0108"/>
    <w:pPr>
      <w:spacing w:before="120" w:after="240"/>
      <w:outlineLvl w:val="1"/>
    </w:pPr>
    <w:rPr>
      <w:rFonts w:cs="Arial"/>
      <w:b/>
    </w:rPr>
  </w:style>
  <w:style w:type="character" w:customStyle="1" w:styleId="SubtitleChar">
    <w:name w:val="Subtitle Char"/>
    <w:basedOn w:val="DefaultParagraphFont"/>
    <w:link w:val="Subtitle"/>
    <w:rsid w:val="005A0108"/>
    <w:rPr>
      <w:rFonts w:eastAsia="SimSun" w:cs="Arial"/>
      <w:b/>
      <w:szCs w:val="24"/>
      <w:lang w:eastAsia="zh-CN"/>
    </w:rPr>
  </w:style>
  <w:style w:type="paragraph" w:styleId="EnvelopeAddress">
    <w:name w:val="envelope address"/>
    <w:basedOn w:val="Normal"/>
    <w:rsid w:val="005A0108"/>
    <w:pPr>
      <w:framePr w:w="7920" w:h="1980" w:hRule="exact" w:hSpace="180" w:wrap="auto" w:hAnchor="page" w:xAlign="center" w:yAlign="bottom"/>
      <w:ind w:left="2880"/>
    </w:pPr>
    <w:rPr>
      <w:rFonts w:cs="Arial"/>
    </w:rPr>
  </w:style>
  <w:style w:type="paragraph" w:styleId="EnvelopeReturn">
    <w:name w:val="envelope return"/>
    <w:basedOn w:val="Normal"/>
    <w:rsid w:val="005A0108"/>
    <w:rPr>
      <w:rFonts w:cs="Arial"/>
      <w:sz w:val="20"/>
      <w:szCs w:val="20"/>
    </w:rPr>
  </w:style>
  <w:style w:type="paragraph" w:customStyle="1" w:styleId="BodyTextDSFirstLine10Justified">
    <w:name w:val="Body Text DS First Line (1.0) Justified"/>
    <w:basedOn w:val="Normal"/>
    <w:rsid w:val="005A0108"/>
    <w:pPr>
      <w:spacing w:line="480" w:lineRule="auto"/>
      <w:ind w:firstLine="1440"/>
      <w:jc w:val="both"/>
    </w:pPr>
    <w:rPr>
      <w:rFonts w:eastAsia="Times New Roman"/>
      <w:lang w:eastAsia="en-US"/>
    </w:rPr>
  </w:style>
  <w:style w:type="paragraph" w:customStyle="1" w:styleId="BodyTextSSFirstLine5Justified">
    <w:name w:val="Body Text SS First Line (.5) Justified"/>
    <w:basedOn w:val="Normal"/>
    <w:rsid w:val="005A0108"/>
    <w:pPr>
      <w:spacing w:before="120" w:after="120"/>
      <w:ind w:firstLine="720"/>
      <w:jc w:val="both"/>
    </w:pPr>
  </w:style>
  <w:style w:type="paragraph" w:customStyle="1" w:styleId="BodyTextDSFirstLine5Justified">
    <w:name w:val="Body Text DS First Line (.5) Justified"/>
    <w:basedOn w:val="Normal"/>
    <w:rsid w:val="005A0108"/>
    <w:pPr>
      <w:spacing w:line="480" w:lineRule="auto"/>
      <w:ind w:firstLine="720"/>
      <w:jc w:val="both"/>
    </w:pPr>
  </w:style>
  <w:style w:type="paragraph" w:customStyle="1" w:styleId="BodyTextDSFirstLine5">
    <w:name w:val="Body Text DS First Line (.5)"/>
    <w:basedOn w:val="Normal"/>
    <w:rsid w:val="005A0108"/>
    <w:pPr>
      <w:spacing w:line="480" w:lineRule="auto"/>
      <w:ind w:firstLine="720"/>
    </w:pPr>
  </w:style>
  <w:style w:type="paragraph" w:customStyle="1" w:styleId="BodyTextDSFirstLine10">
    <w:name w:val="Body Text DS First Line (1.0)"/>
    <w:basedOn w:val="Normal"/>
    <w:rsid w:val="005A0108"/>
    <w:pPr>
      <w:spacing w:line="480" w:lineRule="auto"/>
      <w:ind w:firstLine="1440"/>
    </w:pPr>
  </w:style>
  <w:style w:type="paragraph" w:customStyle="1" w:styleId="BodyTextSSFirstLine5">
    <w:name w:val="Body Text SS First Line (.5 )"/>
    <w:basedOn w:val="Normal"/>
    <w:rsid w:val="005A0108"/>
    <w:pPr>
      <w:spacing w:before="120" w:after="120"/>
      <w:ind w:firstLine="720"/>
    </w:pPr>
  </w:style>
  <w:style w:type="paragraph" w:customStyle="1" w:styleId="BodyTextSSFirstLine10">
    <w:name w:val="Body Text SS First Line (1.0)"/>
    <w:basedOn w:val="Normal"/>
    <w:rsid w:val="005A0108"/>
    <w:pPr>
      <w:spacing w:before="120" w:after="120"/>
      <w:ind w:firstLine="1440"/>
    </w:pPr>
  </w:style>
  <w:style w:type="paragraph" w:customStyle="1" w:styleId="BodyTextSSFirstLine10Justified">
    <w:name w:val="Body Text SS First Line (1.0) Justified"/>
    <w:basedOn w:val="Normal"/>
    <w:rsid w:val="005A0108"/>
    <w:pPr>
      <w:spacing w:before="120" w:after="120"/>
      <w:ind w:firstLine="1440"/>
      <w:jc w:val="both"/>
    </w:pPr>
    <w:rPr>
      <w:rFonts w:eastAsia="Times New Roman"/>
      <w:lang w:eastAsia="en-US"/>
    </w:rPr>
  </w:style>
  <w:style w:type="paragraph" w:customStyle="1" w:styleId="Heading">
    <w:name w:val="Heading"/>
    <w:basedOn w:val="Normal"/>
    <w:rsid w:val="005A0108"/>
    <w:pPr>
      <w:spacing w:after="240"/>
      <w:jc w:val="center"/>
    </w:pPr>
    <w:rPr>
      <w:b/>
      <w:caps/>
      <w:u w:val="single"/>
    </w:rPr>
  </w:style>
  <w:style w:type="paragraph" w:customStyle="1" w:styleId="BodyTextLevel3">
    <w:name w:val="Body Text Level 3"/>
    <w:basedOn w:val="BodyText"/>
    <w:rsid w:val="005A0108"/>
    <w:pPr>
      <w:widowControl/>
      <w:spacing w:before="120" w:after="120"/>
      <w:ind w:firstLine="2160"/>
      <w:jc w:val="both"/>
    </w:pPr>
  </w:style>
  <w:style w:type="paragraph" w:customStyle="1" w:styleId="Answer">
    <w:name w:val="Answer"/>
    <w:basedOn w:val="Answer1"/>
    <w:next w:val="Answer2"/>
    <w:link w:val="AnswerChar"/>
    <w:rsid w:val="005A0108"/>
    <w:pPr>
      <w:ind w:left="720" w:hanging="720"/>
      <w:jc w:val="both"/>
    </w:pPr>
    <w:rPr>
      <w:rFonts w:eastAsia="MS Mincho"/>
      <w:bCs/>
    </w:rPr>
  </w:style>
  <w:style w:type="paragraph" w:customStyle="1" w:styleId="Answer1">
    <w:name w:val="Answer 1"/>
    <w:basedOn w:val="Normal"/>
    <w:next w:val="BodyText"/>
    <w:link w:val="Answer1Char"/>
    <w:rsid w:val="005A0108"/>
    <w:pPr>
      <w:numPr>
        <w:numId w:val="1"/>
      </w:numPr>
      <w:spacing w:before="240" w:after="240" w:line="480" w:lineRule="auto"/>
      <w:outlineLvl w:val="0"/>
    </w:pPr>
    <w:rPr>
      <w:rFonts w:eastAsia="Times New Roman"/>
    </w:rPr>
  </w:style>
  <w:style w:type="paragraph" w:customStyle="1" w:styleId="Answer2">
    <w:name w:val="Answer 2"/>
    <w:basedOn w:val="Normal"/>
    <w:next w:val="BodyText"/>
    <w:link w:val="Answer2Char"/>
    <w:rsid w:val="005A0108"/>
    <w:pPr>
      <w:numPr>
        <w:ilvl w:val="1"/>
        <w:numId w:val="1"/>
      </w:numPr>
      <w:tabs>
        <w:tab w:val="clear" w:pos="0"/>
      </w:tabs>
      <w:spacing w:after="240" w:line="480" w:lineRule="auto"/>
      <w:jc w:val="both"/>
      <w:outlineLvl w:val="1"/>
    </w:pPr>
    <w:rPr>
      <w:rFonts w:eastAsia="MS Mincho"/>
      <w:lang w:eastAsia="en-US"/>
    </w:rPr>
  </w:style>
  <w:style w:type="character" w:customStyle="1" w:styleId="zzmpTrailerItem">
    <w:name w:val="zzmpTrailerItem"/>
    <w:basedOn w:val="DefaultParagraphFont"/>
    <w:rsid w:val="003F31BE"/>
    <w:rPr>
      <w:rFonts w:ascii="Times New Roman" w:hAnsi="Times New Roman" w:cs="Times New Roman"/>
      <w:dstrike w:val="0"/>
      <w:noProof/>
      <w:color w:val="auto"/>
      <w:spacing w:val="0"/>
      <w:position w:val="0"/>
      <w:sz w:val="16"/>
      <w:szCs w:val="16"/>
      <w:u w:val="none"/>
      <w:effect w:val="none"/>
      <w:vertAlign w:val="baseline"/>
    </w:rPr>
  </w:style>
  <w:style w:type="paragraph" w:styleId="FootnoteText">
    <w:name w:val="footnote text"/>
    <w:basedOn w:val="Normal"/>
    <w:link w:val="FootnoteTextChar"/>
    <w:rsid w:val="005A0108"/>
    <w:rPr>
      <w:sz w:val="20"/>
      <w:szCs w:val="20"/>
    </w:rPr>
  </w:style>
  <w:style w:type="character" w:customStyle="1" w:styleId="FootnoteTextChar">
    <w:name w:val="Footnote Text Char"/>
    <w:basedOn w:val="DefaultParagraphFont"/>
    <w:link w:val="FootnoteText"/>
    <w:rsid w:val="005A0108"/>
    <w:rPr>
      <w:rFonts w:eastAsia="SimSun" w:cs="Times New Roman"/>
      <w:sz w:val="20"/>
      <w:szCs w:val="20"/>
      <w:lang w:eastAsia="zh-CN"/>
    </w:rPr>
  </w:style>
  <w:style w:type="character" w:styleId="FootnoteReference">
    <w:name w:val="footnote reference"/>
    <w:basedOn w:val="DefaultParagraphFont"/>
    <w:rsid w:val="005A0108"/>
    <w:rPr>
      <w:vertAlign w:val="superscript"/>
    </w:rPr>
  </w:style>
  <w:style w:type="character" w:customStyle="1" w:styleId="Answer2Char">
    <w:name w:val="Answer 2 Char"/>
    <w:basedOn w:val="DefaultParagraphFont"/>
    <w:link w:val="Answer2"/>
    <w:rsid w:val="005A0108"/>
    <w:rPr>
      <w:rFonts w:eastAsia="MS Mincho" w:cs="Times New Roman"/>
      <w:szCs w:val="24"/>
    </w:rPr>
  </w:style>
  <w:style w:type="paragraph" w:customStyle="1" w:styleId="OutlineCont1">
    <w:name w:val="Outline Cont 1"/>
    <w:basedOn w:val="Normal"/>
    <w:rsid w:val="005A0108"/>
    <w:pPr>
      <w:spacing w:after="240"/>
      <w:ind w:firstLine="720"/>
    </w:pPr>
    <w:rPr>
      <w:rFonts w:eastAsia="Times New Roman"/>
      <w:szCs w:val="20"/>
      <w:lang w:eastAsia="en-US"/>
    </w:rPr>
  </w:style>
  <w:style w:type="paragraph" w:customStyle="1" w:styleId="OutlineCont2">
    <w:name w:val="Outline Cont 2"/>
    <w:basedOn w:val="OutlineCont1"/>
    <w:rsid w:val="005A0108"/>
    <w:pPr>
      <w:ind w:firstLine="1440"/>
    </w:pPr>
  </w:style>
  <w:style w:type="paragraph" w:customStyle="1" w:styleId="OutlineCont3">
    <w:name w:val="Outline Cont 3"/>
    <w:basedOn w:val="OutlineCont2"/>
    <w:rsid w:val="005A0108"/>
    <w:pPr>
      <w:ind w:firstLine="2160"/>
    </w:pPr>
  </w:style>
  <w:style w:type="paragraph" w:customStyle="1" w:styleId="OutlineCont4">
    <w:name w:val="Outline Cont 4"/>
    <w:basedOn w:val="OutlineCont3"/>
    <w:rsid w:val="005A0108"/>
    <w:pPr>
      <w:ind w:firstLine="2880"/>
    </w:pPr>
  </w:style>
  <w:style w:type="paragraph" w:customStyle="1" w:styleId="OutlineCont5">
    <w:name w:val="Outline Cont 5"/>
    <w:basedOn w:val="OutlineCont4"/>
    <w:rsid w:val="005A0108"/>
    <w:pPr>
      <w:ind w:firstLine="3600"/>
    </w:pPr>
  </w:style>
  <w:style w:type="paragraph" w:customStyle="1" w:styleId="OutlineCont6">
    <w:name w:val="Outline Cont 6"/>
    <w:basedOn w:val="OutlineCont5"/>
    <w:rsid w:val="005A0108"/>
    <w:pPr>
      <w:ind w:firstLine="4320"/>
    </w:pPr>
  </w:style>
  <w:style w:type="paragraph" w:customStyle="1" w:styleId="OutlineCont7">
    <w:name w:val="Outline Cont 7"/>
    <w:basedOn w:val="OutlineCont6"/>
    <w:rsid w:val="005A0108"/>
    <w:pPr>
      <w:ind w:firstLine="5040"/>
    </w:pPr>
  </w:style>
  <w:style w:type="paragraph" w:customStyle="1" w:styleId="OutlineCont8">
    <w:name w:val="Outline Cont 8"/>
    <w:basedOn w:val="OutlineCont7"/>
    <w:rsid w:val="005A0108"/>
    <w:pPr>
      <w:ind w:firstLine="5760"/>
    </w:pPr>
  </w:style>
  <w:style w:type="paragraph" w:customStyle="1" w:styleId="OutlineCont9">
    <w:name w:val="Outline Cont 9"/>
    <w:basedOn w:val="OutlineCont8"/>
    <w:rsid w:val="005A0108"/>
    <w:pPr>
      <w:ind w:firstLine="6480"/>
    </w:pPr>
  </w:style>
  <w:style w:type="paragraph" w:customStyle="1" w:styleId="OutlineL1">
    <w:name w:val="Outline_L1"/>
    <w:basedOn w:val="Normal"/>
    <w:next w:val="BodyText"/>
    <w:rsid w:val="005A0108"/>
    <w:pPr>
      <w:numPr>
        <w:numId w:val="2"/>
      </w:numPr>
      <w:spacing w:after="240"/>
      <w:outlineLvl w:val="0"/>
    </w:pPr>
    <w:rPr>
      <w:rFonts w:eastAsia="Times New Roman"/>
      <w:szCs w:val="20"/>
      <w:lang w:eastAsia="en-US"/>
    </w:rPr>
  </w:style>
  <w:style w:type="paragraph" w:customStyle="1" w:styleId="OutlineL2">
    <w:name w:val="Outline_L2"/>
    <w:basedOn w:val="OutlineL1"/>
    <w:next w:val="BodyText"/>
    <w:rsid w:val="005A0108"/>
    <w:pPr>
      <w:numPr>
        <w:ilvl w:val="1"/>
      </w:numPr>
      <w:outlineLvl w:val="1"/>
    </w:pPr>
  </w:style>
  <w:style w:type="paragraph" w:customStyle="1" w:styleId="OutlineL3">
    <w:name w:val="Outline_L3"/>
    <w:basedOn w:val="OutlineL2"/>
    <w:next w:val="BodyText"/>
    <w:rsid w:val="005A0108"/>
    <w:pPr>
      <w:numPr>
        <w:ilvl w:val="2"/>
      </w:numPr>
      <w:outlineLvl w:val="2"/>
    </w:pPr>
  </w:style>
  <w:style w:type="paragraph" w:customStyle="1" w:styleId="OutlineL4">
    <w:name w:val="Outline_L4"/>
    <w:basedOn w:val="OutlineL3"/>
    <w:next w:val="BodyText"/>
    <w:rsid w:val="005A0108"/>
    <w:pPr>
      <w:numPr>
        <w:ilvl w:val="3"/>
      </w:numPr>
      <w:outlineLvl w:val="3"/>
    </w:pPr>
  </w:style>
  <w:style w:type="paragraph" w:customStyle="1" w:styleId="OutlineL5">
    <w:name w:val="Outline_L5"/>
    <w:basedOn w:val="OutlineL4"/>
    <w:next w:val="BodyText"/>
    <w:rsid w:val="005A0108"/>
    <w:pPr>
      <w:numPr>
        <w:ilvl w:val="4"/>
      </w:numPr>
      <w:outlineLvl w:val="4"/>
    </w:pPr>
  </w:style>
  <w:style w:type="paragraph" w:customStyle="1" w:styleId="OutlineL6">
    <w:name w:val="Outline_L6"/>
    <w:basedOn w:val="OutlineL5"/>
    <w:next w:val="BodyText"/>
    <w:rsid w:val="005A0108"/>
    <w:pPr>
      <w:numPr>
        <w:ilvl w:val="5"/>
      </w:numPr>
      <w:outlineLvl w:val="5"/>
    </w:pPr>
  </w:style>
  <w:style w:type="paragraph" w:customStyle="1" w:styleId="OutlineL7">
    <w:name w:val="Outline_L7"/>
    <w:basedOn w:val="OutlineL6"/>
    <w:next w:val="BodyText"/>
    <w:rsid w:val="005A0108"/>
    <w:pPr>
      <w:numPr>
        <w:ilvl w:val="6"/>
      </w:numPr>
      <w:outlineLvl w:val="6"/>
    </w:pPr>
  </w:style>
  <w:style w:type="paragraph" w:customStyle="1" w:styleId="OutlineL8">
    <w:name w:val="Outline_L8"/>
    <w:basedOn w:val="OutlineL7"/>
    <w:next w:val="BodyText"/>
    <w:rsid w:val="005A0108"/>
    <w:pPr>
      <w:numPr>
        <w:ilvl w:val="7"/>
      </w:numPr>
      <w:outlineLvl w:val="7"/>
    </w:pPr>
  </w:style>
  <w:style w:type="paragraph" w:customStyle="1" w:styleId="OutlineL9">
    <w:name w:val="Outline_L9"/>
    <w:basedOn w:val="OutlineL8"/>
    <w:next w:val="BodyText"/>
    <w:rsid w:val="005A0108"/>
    <w:pPr>
      <w:numPr>
        <w:ilvl w:val="8"/>
      </w:numPr>
      <w:outlineLvl w:val="8"/>
    </w:pPr>
  </w:style>
  <w:style w:type="character" w:customStyle="1" w:styleId="AnswerChar">
    <w:name w:val="Answer Char"/>
    <w:basedOn w:val="DefaultParagraphFont"/>
    <w:link w:val="Answer"/>
    <w:rsid w:val="005A0108"/>
    <w:rPr>
      <w:rFonts w:eastAsia="MS Mincho" w:cs="Times New Roman"/>
      <w:bCs/>
      <w:szCs w:val="24"/>
      <w:lang w:eastAsia="zh-CN"/>
    </w:rPr>
  </w:style>
  <w:style w:type="paragraph" w:styleId="ListParagraph">
    <w:name w:val="List Paragraph"/>
    <w:basedOn w:val="Normal"/>
    <w:uiPriority w:val="34"/>
    <w:qFormat/>
    <w:rsid w:val="005A0108"/>
    <w:pPr>
      <w:spacing w:after="200" w:line="276" w:lineRule="auto"/>
      <w:ind w:left="720"/>
    </w:pPr>
    <w:rPr>
      <w:rFonts w:ascii="Calibri" w:eastAsia="Times New Roman" w:hAnsi="Calibri"/>
      <w:sz w:val="22"/>
      <w:szCs w:val="22"/>
      <w:lang w:eastAsia="en-US"/>
    </w:rPr>
  </w:style>
  <w:style w:type="character" w:styleId="CommentReference">
    <w:name w:val="annotation reference"/>
    <w:basedOn w:val="DefaultParagraphFont"/>
    <w:semiHidden/>
    <w:rsid w:val="005A0108"/>
    <w:rPr>
      <w:sz w:val="16"/>
      <w:szCs w:val="16"/>
    </w:rPr>
  </w:style>
  <w:style w:type="paragraph" w:styleId="CommentText">
    <w:name w:val="annotation text"/>
    <w:basedOn w:val="Normal"/>
    <w:link w:val="CommentTextChar"/>
    <w:uiPriority w:val="99"/>
    <w:semiHidden/>
    <w:rsid w:val="005A0108"/>
    <w:rPr>
      <w:sz w:val="20"/>
      <w:szCs w:val="20"/>
    </w:rPr>
  </w:style>
  <w:style w:type="character" w:customStyle="1" w:styleId="CommentTextChar">
    <w:name w:val="Comment Text Char"/>
    <w:basedOn w:val="DefaultParagraphFont"/>
    <w:link w:val="CommentText"/>
    <w:uiPriority w:val="99"/>
    <w:semiHidden/>
    <w:rsid w:val="005A0108"/>
    <w:rPr>
      <w:rFonts w:eastAsia="SimSun" w:cs="Times New Roman"/>
      <w:sz w:val="20"/>
      <w:szCs w:val="20"/>
      <w:lang w:eastAsia="zh-CN"/>
    </w:rPr>
  </w:style>
  <w:style w:type="paragraph" w:styleId="BalloonText">
    <w:name w:val="Balloon Text"/>
    <w:basedOn w:val="Normal"/>
    <w:link w:val="BalloonTextChar"/>
    <w:uiPriority w:val="99"/>
    <w:semiHidden/>
    <w:unhideWhenUsed/>
    <w:rsid w:val="005A0108"/>
    <w:rPr>
      <w:rFonts w:ascii="Tahoma" w:hAnsi="Tahoma" w:cs="Tahoma"/>
      <w:sz w:val="16"/>
      <w:szCs w:val="16"/>
    </w:rPr>
  </w:style>
  <w:style w:type="character" w:customStyle="1" w:styleId="BalloonTextChar">
    <w:name w:val="Balloon Text Char"/>
    <w:basedOn w:val="DefaultParagraphFont"/>
    <w:link w:val="BalloonText"/>
    <w:uiPriority w:val="99"/>
    <w:semiHidden/>
    <w:rsid w:val="005A0108"/>
    <w:rPr>
      <w:rFonts w:ascii="Tahoma" w:eastAsia="SimSun" w:hAnsi="Tahoma" w:cs="Tahoma"/>
      <w:sz w:val="16"/>
      <w:szCs w:val="16"/>
      <w:lang w:eastAsia="zh-CN"/>
    </w:rPr>
  </w:style>
  <w:style w:type="character" w:customStyle="1" w:styleId="Answer1Char">
    <w:name w:val="Answer 1 Char"/>
    <w:link w:val="Answer1"/>
    <w:rsid w:val="005A0108"/>
    <w:rPr>
      <w:rFonts w:cs="Times New Roman"/>
      <w:szCs w:val="24"/>
      <w:lang w:eastAsia="zh-CN"/>
    </w:rPr>
  </w:style>
  <w:style w:type="paragraph" w:styleId="CommentSubject">
    <w:name w:val="annotation subject"/>
    <w:basedOn w:val="CommentText"/>
    <w:next w:val="CommentText"/>
    <w:link w:val="CommentSubjectChar"/>
    <w:uiPriority w:val="99"/>
    <w:semiHidden/>
    <w:unhideWhenUsed/>
    <w:rsid w:val="005A0108"/>
    <w:rPr>
      <w:b/>
      <w:bCs/>
    </w:rPr>
  </w:style>
  <w:style w:type="character" w:customStyle="1" w:styleId="CommentSubjectChar">
    <w:name w:val="Comment Subject Char"/>
    <w:basedOn w:val="CommentTextChar"/>
    <w:link w:val="CommentSubject"/>
    <w:uiPriority w:val="99"/>
    <w:semiHidden/>
    <w:rsid w:val="005A0108"/>
    <w:rPr>
      <w:rFonts w:eastAsia="SimSun" w:cs="Times New Roman"/>
      <w:b/>
      <w:bCs/>
      <w:sz w:val="20"/>
      <w:szCs w:val="20"/>
      <w:lang w:eastAsia="zh-CN"/>
    </w:rPr>
  </w:style>
  <w:style w:type="paragraph" w:styleId="Revision">
    <w:name w:val="Revision"/>
    <w:hidden/>
    <w:uiPriority w:val="99"/>
    <w:semiHidden/>
    <w:rsid w:val="005A0108"/>
    <w:rPr>
      <w:rFonts w:eastAsia="SimSun" w:cs="Times New Roman"/>
      <w:szCs w:val="24"/>
      <w:lang w:eastAsia="zh-CN"/>
    </w:rPr>
  </w:style>
  <w:style w:type="paragraph" w:styleId="NoSpacing">
    <w:name w:val="No Spacing"/>
    <w:uiPriority w:val="1"/>
    <w:qFormat/>
    <w:rsid w:val="00843530"/>
    <w:rPr>
      <w:rFonts w:asciiTheme="minorHAnsi" w:eastAsiaTheme="minorHAnsi" w:hAnsiTheme="minorHAnsi"/>
      <w:sz w:val="22"/>
    </w:rPr>
  </w:style>
  <w:style w:type="table" w:styleId="TableGrid">
    <w:name w:val="Table Grid"/>
    <w:basedOn w:val="TableNormal"/>
    <w:uiPriority w:val="59"/>
    <w:rsid w:val="007D21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E50249"/>
    <w:pPr>
      <w:tabs>
        <w:tab w:val="left" w:pos="360"/>
      </w:tabs>
      <w:spacing w:before="240" w:after="240"/>
      <w:ind w:left="360" w:hanging="360"/>
    </w:pPr>
    <w:rPr>
      <w:b/>
      <w:lang w:eastAsia="en-US"/>
    </w:rPr>
  </w:style>
  <w:style w:type="paragraph" w:styleId="TOC2">
    <w:name w:val="toc 2"/>
    <w:basedOn w:val="Normal"/>
    <w:next w:val="Normal"/>
    <w:autoRedefine/>
    <w:uiPriority w:val="39"/>
    <w:unhideWhenUsed/>
    <w:rsid w:val="00D60442"/>
    <w:pPr>
      <w:tabs>
        <w:tab w:val="left" w:pos="360"/>
      </w:tabs>
      <w:spacing w:after="100"/>
      <w:ind w:left="360" w:hanging="360"/>
    </w:pPr>
  </w:style>
  <w:style w:type="paragraph" w:styleId="TOC3">
    <w:name w:val="toc 3"/>
    <w:basedOn w:val="Normal"/>
    <w:next w:val="Normal"/>
    <w:autoRedefine/>
    <w:uiPriority w:val="39"/>
    <w:unhideWhenUsed/>
    <w:rsid w:val="00D60442"/>
    <w:pPr>
      <w:tabs>
        <w:tab w:val="left" w:pos="720"/>
        <w:tab w:val="left" w:pos="1080"/>
      </w:tabs>
      <w:spacing w:after="100"/>
      <w:ind w:left="720" w:hanging="360"/>
    </w:pPr>
  </w:style>
  <w:style w:type="character" w:styleId="Hyperlink">
    <w:name w:val="Hyperlink"/>
    <w:basedOn w:val="DefaultParagraphFont"/>
    <w:uiPriority w:val="99"/>
    <w:unhideWhenUsed/>
    <w:rsid w:val="00D60442"/>
    <w:rPr>
      <w:color w:val="0000FF" w:themeColor="hyperlink"/>
      <w:u w:val="single"/>
    </w:rPr>
  </w:style>
  <w:style w:type="character" w:customStyle="1" w:styleId="Heading1Char">
    <w:name w:val="Heading 1 Char"/>
    <w:basedOn w:val="DefaultParagraphFont"/>
    <w:link w:val="Heading1"/>
    <w:uiPriority w:val="9"/>
    <w:rsid w:val="00D60442"/>
    <w:rPr>
      <w:rFonts w:asciiTheme="majorHAnsi" w:eastAsiaTheme="majorEastAsia" w:hAnsiTheme="majorHAnsi" w:cstheme="majorBidi"/>
      <w:color w:val="365F91" w:themeColor="accent1" w:themeShade="BF"/>
      <w:sz w:val="32"/>
      <w:szCs w:val="32"/>
      <w:lang w:eastAsia="zh-CN"/>
    </w:rPr>
  </w:style>
  <w:style w:type="paragraph" w:styleId="TOCHeading">
    <w:name w:val="TOC Heading"/>
    <w:basedOn w:val="Heading1"/>
    <w:next w:val="Normal"/>
    <w:uiPriority w:val="39"/>
    <w:unhideWhenUsed/>
    <w:qFormat/>
    <w:rsid w:val="00D60442"/>
    <w:pPr>
      <w:spacing w:line="259" w:lineRule="auto"/>
      <w:outlineLvl w:val="9"/>
    </w:pPr>
    <w:rPr>
      <w:lang w:eastAsia="en-US"/>
    </w:rPr>
  </w:style>
  <w:style w:type="character" w:customStyle="1" w:styleId="Heading2Char">
    <w:name w:val="Heading 2 Char"/>
    <w:basedOn w:val="DefaultParagraphFont"/>
    <w:link w:val="Heading2"/>
    <w:uiPriority w:val="9"/>
    <w:semiHidden/>
    <w:rsid w:val="00D60442"/>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D60442"/>
    <w:rPr>
      <w:rFonts w:asciiTheme="majorHAnsi" w:eastAsiaTheme="majorEastAsia" w:hAnsiTheme="majorHAnsi" w:cstheme="majorBidi"/>
      <w:color w:val="243F60" w:themeColor="accent1" w:themeShade="7F"/>
      <w:szCs w:val="24"/>
    </w:rPr>
  </w:style>
  <w:style w:type="character" w:customStyle="1" w:styleId="Heading4Char">
    <w:name w:val="Heading 4 Char"/>
    <w:basedOn w:val="DefaultParagraphFont"/>
    <w:link w:val="Heading4"/>
    <w:uiPriority w:val="9"/>
    <w:semiHidden/>
    <w:rsid w:val="00D60442"/>
    <w:rPr>
      <w:rFonts w:asciiTheme="majorHAnsi" w:eastAsiaTheme="majorEastAsia" w:hAnsiTheme="majorHAnsi" w:cstheme="majorBidi"/>
      <w:i/>
      <w:iCs/>
      <w:color w:val="365F91" w:themeColor="accent1" w:themeShade="BF"/>
      <w:szCs w:val="24"/>
    </w:rPr>
  </w:style>
  <w:style w:type="character" w:customStyle="1" w:styleId="Heading5Char">
    <w:name w:val="Heading 5 Char"/>
    <w:basedOn w:val="DefaultParagraphFont"/>
    <w:link w:val="Heading5"/>
    <w:uiPriority w:val="9"/>
    <w:semiHidden/>
    <w:rsid w:val="00D60442"/>
    <w:rPr>
      <w:rFonts w:asciiTheme="majorHAnsi" w:eastAsiaTheme="majorEastAsia" w:hAnsiTheme="majorHAnsi" w:cstheme="majorBidi"/>
      <w:color w:val="365F91" w:themeColor="accent1" w:themeShade="BF"/>
      <w:szCs w:val="24"/>
    </w:rPr>
  </w:style>
  <w:style w:type="character" w:customStyle="1" w:styleId="Heading6Char">
    <w:name w:val="Heading 6 Char"/>
    <w:basedOn w:val="DefaultParagraphFont"/>
    <w:link w:val="Heading6"/>
    <w:uiPriority w:val="9"/>
    <w:semiHidden/>
    <w:rsid w:val="00D60442"/>
    <w:rPr>
      <w:rFonts w:asciiTheme="majorHAnsi" w:eastAsiaTheme="majorEastAsia" w:hAnsiTheme="majorHAnsi" w:cstheme="majorBidi"/>
      <w:color w:val="243F60" w:themeColor="accent1" w:themeShade="7F"/>
      <w:szCs w:val="24"/>
    </w:rPr>
  </w:style>
  <w:style w:type="character" w:customStyle="1" w:styleId="Heading7Char">
    <w:name w:val="Heading 7 Char"/>
    <w:basedOn w:val="DefaultParagraphFont"/>
    <w:link w:val="Heading7"/>
    <w:uiPriority w:val="9"/>
    <w:semiHidden/>
    <w:rsid w:val="00D60442"/>
    <w:rPr>
      <w:rFonts w:asciiTheme="majorHAnsi" w:eastAsiaTheme="majorEastAsia" w:hAnsiTheme="majorHAnsi" w:cstheme="majorBidi"/>
      <w:i/>
      <w:iCs/>
      <w:color w:val="243F60" w:themeColor="accent1" w:themeShade="7F"/>
      <w:szCs w:val="24"/>
    </w:rPr>
  </w:style>
  <w:style w:type="character" w:customStyle="1" w:styleId="Heading8Char">
    <w:name w:val="Heading 8 Char"/>
    <w:basedOn w:val="DefaultParagraphFont"/>
    <w:link w:val="Heading8"/>
    <w:uiPriority w:val="9"/>
    <w:semiHidden/>
    <w:rsid w:val="00D6044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60442"/>
    <w:rPr>
      <w:rFonts w:asciiTheme="majorHAnsi" w:eastAsiaTheme="majorEastAsia" w:hAnsiTheme="majorHAnsi" w:cstheme="majorBidi"/>
      <w:i/>
      <w:iCs/>
      <w:color w:val="272727" w:themeColor="text1" w:themeTint="D8"/>
      <w:sz w:val="21"/>
      <w:szCs w:val="21"/>
    </w:rPr>
  </w:style>
  <w:style w:type="character" w:customStyle="1" w:styleId="Mention1">
    <w:name w:val="Mention1"/>
    <w:basedOn w:val="DefaultParagraphFont"/>
    <w:uiPriority w:val="99"/>
    <w:unhideWhenUsed/>
    <w:rsid w:val="00130157"/>
    <w:rPr>
      <w:color w:val="2B579A"/>
      <w:shd w:val="clear" w:color="auto" w:fill="E6E6E6"/>
    </w:rPr>
  </w:style>
  <w:style w:type="character" w:styleId="UnresolvedMention">
    <w:name w:val="Unresolved Mention"/>
    <w:basedOn w:val="DefaultParagraphFont"/>
    <w:uiPriority w:val="99"/>
    <w:rsid w:val="007074CB"/>
    <w:rPr>
      <w:color w:val="605E5C"/>
      <w:shd w:val="clear" w:color="auto" w:fill="E1DFDD"/>
    </w:rPr>
  </w:style>
  <w:style w:type="character" w:styleId="Mention">
    <w:name w:val="Mention"/>
    <w:basedOn w:val="DefaultParagraphFont"/>
    <w:uiPriority w:val="99"/>
    <w:rsid w:val="0058396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024">
      <w:bodyDiv w:val="1"/>
      <w:marLeft w:val="0"/>
      <w:marRight w:val="0"/>
      <w:marTop w:val="0"/>
      <w:marBottom w:val="0"/>
      <w:divBdr>
        <w:top w:val="none" w:sz="0" w:space="0" w:color="auto"/>
        <w:left w:val="none" w:sz="0" w:space="0" w:color="auto"/>
        <w:bottom w:val="none" w:sz="0" w:space="0" w:color="auto"/>
        <w:right w:val="none" w:sz="0" w:space="0" w:color="auto"/>
      </w:divBdr>
    </w:div>
    <w:div w:id="132455388">
      <w:bodyDiv w:val="1"/>
      <w:marLeft w:val="0"/>
      <w:marRight w:val="0"/>
      <w:marTop w:val="0"/>
      <w:marBottom w:val="0"/>
      <w:divBdr>
        <w:top w:val="none" w:sz="0" w:space="0" w:color="auto"/>
        <w:left w:val="none" w:sz="0" w:space="0" w:color="auto"/>
        <w:bottom w:val="none" w:sz="0" w:space="0" w:color="auto"/>
        <w:right w:val="none" w:sz="0" w:space="0" w:color="auto"/>
      </w:divBdr>
      <w:divsChild>
        <w:div w:id="1287269836">
          <w:marLeft w:val="0"/>
          <w:marRight w:val="0"/>
          <w:marTop w:val="0"/>
          <w:marBottom w:val="0"/>
          <w:divBdr>
            <w:top w:val="none" w:sz="0" w:space="0" w:color="3D3D3D"/>
            <w:left w:val="none" w:sz="0" w:space="0" w:color="3D3D3D"/>
            <w:bottom w:val="none" w:sz="0" w:space="0" w:color="3D3D3D"/>
            <w:right w:val="none" w:sz="0" w:space="0" w:color="3D3D3D"/>
          </w:divBdr>
          <w:divsChild>
            <w:div w:id="2142335509">
              <w:marLeft w:val="0"/>
              <w:marRight w:val="0"/>
              <w:marTop w:val="0"/>
              <w:marBottom w:val="0"/>
              <w:divBdr>
                <w:top w:val="none" w:sz="0" w:space="0" w:color="3D3D3D"/>
                <w:left w:val="none" w:sz="0" w:space="0" w:color="3D3D3D"/>
                <w:bottom w:val="none" w:sz="0" w:space="0" w:color="3D3D3D"/>
                <w:right w:val="none" w:sz="0" w:space="0" w:color="3D3D3D"/>
              </w:divBdr>
            </w:div>
          </w:divsChild>
        </w:div>
      </w:divsChild>
    </w:div>
    <w:div w:id="192574470">
      <w:bodyDiv w:val="1"/>
      <w:marLeft w:val="0"/>
      <w:marRight w:val="0"/>
      <w:marTop w:val="0"/>
      <w:marBottom w:val="0"/>
      <w:divBdr>
        <w:top w:val="none" w:sz="0" w:space="0" w:color="auto"/>
        <w:left w:val="none" w:sz="0" w:space="0" w:color="auto"/>
        <w:bottom w:val="none" w:sz="0" w:space="0" w:color="auto"/>
        <w:right w:val="none" w:sz="0" w:space="0" w:color="auto"/>
      </w:divBdr>
    </w:div>
    <w:div w:id="235827640">
      <w:bodyDiv w:val="1"/>
      <w:marLeft w:val="0"/>
      <w:marRight w:val="0"/>
      <w:marTop w:val="0"/>
      <w:marBottom w:val="0"/>
      <w:divBdr>
        <w:top w:val="none" w:sz="0" w:space="0" w:color="auto"/>
        <w:left w:val="none" w:sz="0" w:space="0" w:color="auto"/>
        <w:bottom w:val="none" w:sz="0" w:space="0" w:color="auto"/>
        <w:right w:val="none" w:sz="0" w:space="0" w:color="auto"/>
      </w:divBdr>
    </w:div>
    <w:div w:id="406458361">
      <w:bodyDiv w:val="1"/>
      <w:marLeft w:val="0"/>
      <w:marRight w:val="0"/>
      <w:marTop w:val="0"/>
      <w:marBottom w:val="0"/>
      <w:divBdr>
        <w:top w:val="none" w:sz="0" w:space="0" w:color="auto"/>
        <w:left w:val="none" w:sz="0" w:space="0" w:color="auto"/>
        <w:bottom w:val="none" w:sz="0" w:space="0" w:color="auto"/>
        <w:right w:val="none" w:sz="0" w:space="0" w:color="auto"/>
      </w:divBdr>
    </w:div>
    <w:div w:id="837766528">
      <w:bodyDiv w:val="1"/>
      <w:marLeft w:val="0"/>
      <w:marRight w:val="0"/>
      <w:marTop w:val="0"/>
      <w:marBottom w:val="0"/>
      <w:divBdr>
        <w:top w:val="none" w:sz="0" w:space="0" w:color="auto"/>
        <w:left w:val="none" w:sz="0" w:space="0" w:color="auto"/>
        <w:bottom w:val="none" w:sz="0" w:space="0" w:color="auto"/>
        <w:right w:val="none" w:sz="0" w:space="0" w:color="auto"/>
      </w:divBdr>
    </w:div>
    <w:div w:id="1031497190">
      <w:bodyDiv w:val="1"/>
      <w:marLeft w:val="0"/>
      <w:marRight w:val="0"/>
      <w:marTop w:val="0"/>
      <w:marBottom w:val="0"/>
      <w:divBdr>
        <w:top w:val="none" w:sz="0" w:space="0" w:color="auto"/>
        <w:left w:val="none" w:sz="0" w:space="0" w:color="auto"/>
        <w:bottom w:val="none" w:sz="0" w:space="0" w:color="auto"/>
        <w:right w:val="none" w:sz="0" w:space="0" w:color="auto"/>
      </w:divBdr>
    </w:div>
    <w:div w:id="1077826864">
      <w:bodyDiv w:val="1"/>
      <w:marLeft w:val="0"/>
      <w:marRight w:val="0"/>
      <w:marTop w:val="0"/>
      <w:marBottom w:val="0"/>
      <w:divBdr>
        <w:top w:val="none" w:sz="0" w:space="0" w:color="auto"/>
        <w:left w:val="none" w:sz="0" w:space="0" w:color="auto"/>
        <w:bottom w:val="none" w:sz="0" w:space="0" w:color="auto"/>
        <w:right w:val="none" w:sz="0" w:space="0" w:color="auto"/>
      </w:divBdr>
    </w:div>
    <w:div w:id="1192842647">
      <w:bodyDiv w:val="1"/>
      <w:marLeft w:val="0"/>
      <w:marRight w:val="0"/>
      <w:marTop w:val="0"/>
      <w:marBottom w:val="0"/>
      <w:divBdr>
        <w:top w:val="none" w:sz="0" w:space="0" w:color="auto"/>
        <w:left w:val="none" w:sz="0" w:space="0" w:color="auto"/>
        <w:bottom w:val="none" w:sz="0" w:space="0" w:color="auto"/>
        <w:right w:val="none" w:sz="0" w:space="0" w:color="auto"/>
      </w:divBdr>
      <w:divsChild>
        <w:div w:id="1242835152">
          <w:marLeft w:val="0"/>
          <w:marRight w:val="0"/>
          <w:marTop w:val="0"/>
          <w:marBottom w:val="0"/>
          <w:divBdr>
            <w:top w:val="none" w:sz="0" w:space="0" w:color="3D3D3D"/>
            <w:left w:val="none" w:sz="0" w:space="0" w:color="3D3D3D"/>
            <w:bottom w:val="none" w:sz="0" w:space="0" w:color="3D3D3D"/>
            <w:right w:val="none" w:sz="0" w:space="0" w:color="3D3D3D"/>
          </w:divBdr>
          <w:divsChild>
            <w:div w:id="640234708">
              <w:marLeft w:val="0"/>
              <w:marRight w:val="0"/>
              <w:marTop w:val="0"/>
              <w:marBottom w:val="0"/>
              <w:divBdr>
                <w:top w:val="none" w:sz="0" w:space="0" w:color="3D3D3D"/>
                <w:left w:val="none" w:sz="0" w:space="0" w:color="3D3D3D"/>
                <w:bottom w:val="none" w:sz="0" w:space="0" w:color="3D3D3D"/>
                <w:right w:val="none" w:sz="0" w:space="0" w:color="3D3D3D"/>
              </w:divBdr>
            </w:div>
          </w:divsChild>
        </w:div>
      </w:divsChild>
    </w:div>
    <w:div w:id="1196113309">
      <w:bodyDiv w:val="1"/>
      <w:marLeft w:val="0"/>
      <w:marRight w:val="0"/>
      <w:marTop w:val="0"/>
      <w:marBottom w:val="0"/>
      <w:divBdr>
        <w:top w:val="none" w:sz="0" w:space="0" w:color="auto"/>
        <w:left w:val="none" w:sz="0" w:space="0" w:color="auto"/>
        <w:bottom w:val="none" w:sz="0" w:space="0" w:color="auto"/>
        <w:right w:val="none" w:sz="0" w:space="0" w:color="auto"/>
      </w:divBdr>
    </w:div>
    <w:div w:id="1939408096">
      <w:bodyDiv w:val="1"/>
      <w:marLeft w:val="0"/>
      <w:marRight w:val="0"/>
      <w:marTop w:val="0"/>
      <w:marBottom w:val="0"/>
      <w:divBdr>
        <w:top w:val="none" w:sz="0" w:space="0" w:color="auto"/>
        <w:left w:val="none" w:sz="0" w:space="0" w:color="auto"/>
        <w:bottom w:val="none" w:sz="0" w:space="0" w:color="auto"/>
        <w:right w:val="none" w:sz="0" w:space="0" w:color="auto"/>
      </w:divBdr>
    </w:div>
    <w:div w:id="2140683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3154</Words>
  <Characters>17852</Characters>
  <Application>Microsoft Office Word</Application>
  <DocSecurity>0</DocSecurity>
  <Lines>278</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2025-07-08T19:41:00Z</dcterms:created>
  <dcterms:modified xsi:type="dcterms:W3CDTF">2025-07-08T19:49:00Z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